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¿Cómo obtengo códigos de inicio de sesión de recuperación de Facebook para utilizar cuando no tengo mi teléfono?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"https://www.facebook.com/help/148104135383285"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https://www.facebook.com/help/148104135383285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  <w:r>
        <w:t>Si activaste la autenticación en dos pasos, puedes recibir diez códigos de inicio de sesión para usar cuando no puedas utilizar el teléfono.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Para obtener los códigos: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Haz clic en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" cy="23812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en la parte superior derecha de Facebook. 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Selecciona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Configuración y privacidad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y haz clic en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Configuración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Haz clic en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"https://www.facebook.com/settings?tab=security" \t "/home/wachin/Documentos\\x/blank"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Seguridad e inicio de sesión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En la sección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Autenticación en dos pasos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haz clic en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Usar la autenticación en dos pasos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 Es posible que tengas que volver a escribir tu contraseña.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Junto a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Códigos de recuperación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haz clic en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Configuración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y después en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Obtener códigos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Si ya configuraste códigos de recuperación, puedes hacer clic en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Administrar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Mostrar códigos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290" cy="5107305"/>
            <wp:effectExtent l="0" t="0" r="10160" b="1714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10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Puedes imprimir o anotar los diez códigos que aparecen. Solo podrás usar cada código una vez. Si agotas todos los códigos, puedes hacer clic en </w:t>
      </w:r>
      <w:r>
        <w:rPr>
          <w:b/>
        </w:rPr>
        <w:t>Obtener nuevos códigos</w:t>
      </w:r>
      <w:r>
        <w:t xml:space="preserve"> para solicitar más.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C04E"/>
    <w:rsid w:val="6FF3C04E"/>
    <w:rsid w:val="CF5DF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2021-01-27T09:23:00Z</dcterms:created>
  <dc:creator>wachin</dc:creator>
  <cp:lastModifiedBy>wachin</cp:lastModifiedBy>
  <dcterms:modified xsi:type="dcterms:W3CDTF">2021-01-27T09:25:27Z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