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Beca de Movilidad Estudiantil 2025</w:t>
      </w:r>
    </w:p>
    <w:p>
      <w:pPr>
        <w:jc w:val="center"/>
      </w:pPr>
      <w:r>
        <w:t>Secretaría de Educación Superior, Ciencia, Tecnología e Innovación (SENESCYT)</w:t>
      </w:r>
    </w:p>
    <w:p/>
    <w:p>
      <w:pPr>
        <w:pStyle w:val="Heading2"/>
      </w:pPr>
      <w:r>
        <w:t>Objetivo</w:t>
      </w:r>
    </w:p>
    <w:p>
      <w:r>
        <w:t>Fomentar la movilidad académica de estudiantes de tercer nivel hacia instituciones de educación superior extranjeras de excelencia.</w:t>
      </w:r>
    </w:p>
    <w:p>
      <w:pPr>
        <w:pStyle w:val="Heading2"/>
      </w:pPr>
      <w:r>
        <w:t>Requisitos</w:t>
      </w:r>
    </w:p>
    <w:p>
      <w:pPr>
        <w:pStyle w:val="ListNumber"/>
      </w:pPr>
      <w:r>
        <w:t>1. Ser estudiante regular de tercer nivel en institución ecuatoriana</w:t>
      </w:r>
    </w:p>
    <w:p>
      <w:pPr>
        <w:pStyle w:val="ListNumber"/>
      </w:pPr>
      <w:r>
        <w:t>2. Haber aprobado al menos el 60% de los créditos de la carrera</w:t>
      </w:r>
    </w:p>
    <w:p>
      <w:pPr>
        <w:pStyle w:val="ListNumber"/>
      </w:pPr>
      <w:r>
        <w:t>3. Promedio ponderado mínimo de 8.0/10</w:t>
      </w:r>
    </w:p>
    <w:p>
      <w:pPr>
        <w:pStyle w:val="ListNumber"/>
      </w:pPr>
      <w:r>
        <w:t>4. Carta de aceptación de institución extranjera (convenio o ranking QS Top 500)</w:t>
      </w:r>
    </w:p>
    <w:p>
      <w:pPr>
        <w:pStyle w:val="ListNumber"/>
      </w:pPr>
      <w:r>
        <w:t>5. Seguro médico internacional vigente</w:t>
      </w:r>
    </w:p>
    <w:p>
      <w:pPr>
        <w:pStyle w:val="ListNumber"/>
      </w:pPr>
      <w:r>
        <w:t>6. No ser beneficiario de otra beca SENESCYT simultáneamente</w:t>
      </w:r>
    </w:p>
    <w:p>
      <w:pPr>
        <w:pStyle w:val="Heading2"/>
      </w:pPr>
      <w:r>
        <w:t>Beneficios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Concepto</w:t>
            </w:r>
          </w:p>
        </w:tc>
        <w:tc>
          <w:tcPr>
            <w:tcW w:type="dxa" w:w="2880"/>
          </w:tcPr>
          <w:p>
            <w:r>
              <w:t>Cobertura</w:t>
            </w:r>
          </w:p>
        </w:tc>
        <w:tc>
          <w:tcPr>
            <w:tcW w:type="dxa" w:w="2880"/>
          </w:tcPr>
          <w:p>
            <w:r>
              <w:t>Monto Máximo</w:t>
            </w:r>
          </w:p>
        </w:tc>
      </w:tr>
      <w:tr>
        <w:tc>
          <w:tcPr>
            <w:tcW w:type="dxa" w:w="2880"/>
          </w:tcPr>
          <w:p>
            <w:r>
              <w:t>Matrícula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$15,000 USD/año</w:t>
            </w:r>
          </w:p>
        </w:tc>
      </w:tr>
      <w:tr>
        <w:tc>
          <w:tcPr>
            <w:tcW w:type="dxa" w:w="2880"/>
          </w:tcPr>
          <w:p>
            <w:r>
              <w:t>Estipendio mensual</w:t>
            </w:r>
          </w:p>
        </w:tc>
        <w:tc>
          <w:tcPr>
            <w:tcW w:type="dxa" w:w="2880"/>
          </w:tcPr>
          <w:p>
            <w:r>
              <w:t>Fijo</w:t>
            </w:r>
          </w:p>
        </w:tc>
        <w:tc>
          <w:tcPr>
            <w:tcW w:type="dxa" w:w="2880"/>
          </w:tcPr>
          <w:p>
            <w:r>
              <w:t>$800 USD/mes (máx. 10 meses)</w:t>
            </w:r>
          </w:p>
        </w:tc>
      </w:tr>
      <w:tr>
        <w:tc>
          <w:tcPr>
            <w:tcW w:type="dxa" w:w="2880"/>
          </w:tcPr>
          <w:p>
            <w:r>
              <w:t>Pasajes aéreos</w:t>
            </w:r>
          </w:p>
        </w:tc>
        <w:tc>
          <w:tcPr>
            <w:tcW w:type="dxa" w:w="2880"/>
          </w:tcPr>
          <w:p>
            <w:r>
              <w:t>Ida y vuelta</w:t>
            </w:r>
          </w:p>
        </w:tc>
        <w:tc>
          <w:tcPr>
            <w:tcW w:type="dxa" w:w="2880"/>
          </w:tcPr>
          <w:p>
            <w:r>
              <w:t>$2,000 USD</w:t>
            </w:r>
          </w:p>
        </w:tc>
      </w:tr>
      <w:tr>
        <w:tc>
          <w:tcPr>
            <w:tcW w:type="dxa" w:w="2880"/>
          </w:tcPr>
          <w:p>
            <w:r>
              <w:t>Seguro médico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Cobertura internacional</w:t>
            </w:r>
          </w:p>
        </w:tc>
      </w:tr>
      <w:tr>
        <w:tc>
          <w:tcPr>
            <w:tcW w:type="dxa" w:w="2880"/>
          </w:tcPr>
          <w:p>
            <w:r>
              <w:t>Trámites de visa</w:t>
            </w:r>
          </w:p>
        </w:tc>
        <w:tc>
          <w:tcPr>
            <w:tcW w:type="dxa" w:w="2880"/>
          </w:tcPr>
          <w:p>
            <w:r>
              <w:t>Asesoría</w:t>
            </w:r>
          </w:p>
        </w:tc>
        <w:tc>
          <w:tcPr>
            <w:tcW w:type="dxa" w:w="2880"/>
          </w:tcPr>
          <w:p>
            <w:r>
              <w:t>Sin costo adicional</w:t>
            </w:r>
          </w:p>
        </w:tc>
      </w:tr>
    </w:tbl>
    <w:p>
      <w:pPr>
        <w:pStyle w:val="Heading2"/>
      </w:pPr>
      <w:r>
        <w:t>Cronograma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Evento</w:t>
            </w:r>
          </w:p>
        </w:tc>
        <w:tc>
          <w:tcPr>
            <w:tcW w:type="dxa" w:w="4320"/>
          </w:tcPr>
          <w:p>
            <w:r>
              <w:t>Fecha</w:t>
            </w:r>
          </w:p>
        </w:tc>
      </w:tr>
      <w:tr>
        <w:tc>
          <w:tcPr>
            <w:tcW w:type="dxa" w:w="4320"/>
          </w:tcPr>
          <w:p>
            <w:r>
              <w:t>Apertura de convocatoria</w:t>
            </w:r>
          </w:p>
        </w:tc>
        <w:tc>
          <w:tcPr>
            <w:tcW w:type="dxa" w:w="4320"/>
          </w:tcPr>
          <w:p>
            <w:r>
              <w:t>15/03/2025</w:t>
            </w:r>
          </w:p>
        </w:tc>
      </w:tr>
      <w:tr>
        <w:tc>
          <w:tcPr>
            <w:tcW w:type="dxa" w:w="4320"/>
          </w:tcPr>
          <w:p>
            <w:r>
              <w:t>Cierre de postulaciones</w:t>
            </w:r>
          </w:p>
        </w:tc>
        <w:tc>
          <w:tcPr>
            <w:tcW w:type="dxa" w:w="4320"/>
          </w:tcPr>
          <w:p>
            <w:r>
              <w:t>30/05/2025</w:t>
            </w:r>
          </w:p>
        </w:tc>
      </w:tr>
      <w:tr>
        <w:tc>
          <w:tcPr>
            <w:tcW w:type="dxa" w:w="4320"/>
          </w:tcPr>
          <w:p>
            <w:r>
              <w:t>Evaluación y selección</w:t>
            </w:r>
          </w:p>
        </w:tc>
        <w:tc>
          <w:tcPr>
            <w:tcW w:type="dxa" w:w="4320"/>
          </w:tcPr>
          <w:p>
            <w:r>
              <w:t>01/06/2025 - 15/07/2025</w:t>
            </w:r>
          </w:p>
        </w:tc>
      </w:tr>
      <w:tr>
        <w:tc>
          <w:tcPr>
            <w:tcW w:type="dxa" w:w="4320"/>
          </w:tcPr>
          <w:p>
            <w:r>
              <w:t>Publicación de resultados</w:t>
            </w:r>
          </w:p>
        </w:tc>
        <w:tc>
          <w:tcPr>
            <w:tcW w:type="dxa" w:w="4320"/>
          </w:tcPr>
          <w:p>
            <w:r>
              <w:t>20/07/2025</w:t>
            </w:r>
          </w:p>
        </w:tc>
      </w:tr>
    </w:tbl>
    <w:p>
      <w:pPr>
        <w:pStyle w:val="Heading2"/>
      </w:pPr>
      <w:r>
        <w:t>Contacto</w:t>
      </w:r>
    </w:p>
    <w:p>
      <w:r>
        <w:t>Email: movilidad@senescyt.gob.ec</w:t>
      </w:r>
    </w:p>
    <w:p>
      <w:r>
        <w:t>Web: https://www.senescyt.gob.ec/movilidad</w:t>
      </w:r>
    </w:p>
    <w:p>
      <w:r>
        <w:t>Tel: +593 2 234 5678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