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line="360" w:lineRule="auto"/>
        <w:ind w:left="0" w:leftChars="0" w:firstLine="0" w:firstLineChars="0"/>
        <w:jc w:val="center"/>
        <w:rPr>
          <w:rFonts w:hint="eastAsia" w:ascii="黑体" w:hAnsi="黑体" w:eastAsia="黑体" w:cs="黑体"/>
          <w:b/>
          <w:bCs/>
          <w:kern w:val="44"/>
          <w:sz w:val="36"/>
          <w:szCs w:val="36"/>
        </w:rPr>
      </w:pPr>
      <w:bookmarkStart w:id="0" w:name="_Toc411426751"/>
      <w:r>
        <w:rPr>
          <w:rFonts w:hint="eastAsia" w:ascii="黑体" w:hAnsi="黑体" w:eastAsia="宋体" w:cs="黑体"/>
          <w:b/>
          <w:bCs/>
          <w:kern w:val="44"/>
          <w:sz w:val="44"/>
          <w:szCs w:val="44"/>
          <w:lang w:val="en-US" w:eastAsia="zh-CN"/>
        </w:rPr>
        <w:t>採購</w:t>
      </w:r>
      <w:r>
        <w:rPr>
          <w:rFonts w:hint="eastAsia" w:ascii="黑体" w:hAnsi="黑体" w:eastAsia="宋体" w:cs="黑体"/>
          <w:b/>
          <w:bCs/>
          <w:kern w:val="44"/>
          <w:sz w:val="44"/>
          <w:szCs w:val="44"/>
        </w:rPr>
        <w:t>合同</w:t>
      </w:r>
    </w:p>
    <w:p>
      <w:pPr>
        <w:spacing w:line="360" w:lineRule="auto"/>
        <w:jc w:val="center"/>
        <w:rPr>
          <w:rFonts w:hint="eastAsia" w:ascii="黑体" w:hAnsi="黑体" w:eastAsia="黑体" w:cs="黑体"/>
          <w:b/>
          <w:bCs/>
          <w:kern w:val="44"/>
          <w:sz w:val="36"/>
          <w:szCs w:val="36"/>
        </w:rPr>
      </w:pP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合同編號：</w:t>
      </w:r>
      <w:bookmarkStart w:id="20" w:name="_GoBack"/>
      <w:bookmarkEnd w:id="20"/>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簽訂地點：</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簽訂時間：</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採購人（甲方）：</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r>
        <w:rPr>
          <w:rFonts w:hint="eastAsia" w:ascii="宋体" w:hAnsi="宋体" w:eastAsia="宋体" w:cs="宋体"/>
          <w:sz w:val="24"/>
          <w:szCs w:val="24"/>
        </w:rPr>
        <w:t xml:space="preserve">        </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供應商（乙方）：</w:t>
      </w:r>
      <w:r>
        <w:rPr>
          <w:rFonts w:ascii="宋体" w:hAnsi="宋体" w:eastAsia="宋体" w:cs="宋体"/>
          <w:sz w:val="24"/>
          <w:szCs w:val="24"/>
        </w:rPr>
        <w:t xml:space="preserve">    </w:t>
      </w:r>
      <w:r>
        <w:rPr>
          <w:rFonts w:hint="eastAsia" w:ascii="宋体" w:hAnsi="宋体" w:eastAsia="宋体" w:cs="宋体"/>
          <w:sz w:val="24"/>
          <w:szCs w:val="24"/>
        </w:rPr>
        <w:t xml:space="preserve">                                    </w:t>
      </w:r>
      <w:r>
        <w:rPr>
          <w:rFonts w:ascii="宋体" w:hAnsi="宋体" w:eastAsia="宋体" w:cs="宋体"/>
          <w:sz w:val="24"/>
          <w:szCs w:val="24"/>
        </w:rPr>
        <w:t xml:space="preserve">  </w:t>
      </w:r>
    </w:p>
    <w:p>
      <w:pPr>
        <w:spacing w:line="400" w:lineRule="exact"/>
        <w:ind w:firstLine="480" w:firstLineChars="200"/>
        <w:rPr>
          <w:rFonts w:ascii="宋体" w:hAnsi="宋体" w:cs="宋体"/>
          <w:sz w:val="24"/>
          <w:szCs w:val="24"/>
        </w:rPr>
      </w:pPr>
      <w:bookmarkStart w:id="1" w:name="_九、其他"/>
      <w:bookmarkEnd w:id="1"/>
      <w:bookmarkStart w:id="2" w:name="_Toc217446115"/>
      <w:r>
        <w:rPr>
          <w:rFonts w:hint="eastAsia" w:ascii="宋体" w:hAnsi="宋体" w:eastAsia="宋体" w:cs="宋体"/>
          <w:sz w:val="24"/>
          <w:szCs w:val="24"/>
        </w:rPr>
        <w:t>根據《中華人民共和國政府採購法》、《中華人民共和國合同法》及</w:t>
      </w:r>
      <w:r>
        <w:rPr>
          <w:rFonts w:hint="eastAsia" w:eastAsia="宋体" w:cs="宋体"/>
          <w:color w:val="000000"/>
          <w:sz w:val="24"/>
          <w:szCs w:val="21"/>
        </w:rPr>
        <w:t>XX</w:t>
      </w:r>
      <w:r>
        <w:rPr>
          <w:rFonts w:hint="eastAsia" w:ascii="宋体" w:hAnsi="宋体" w:eastAsia="宋体" w:cs="宋体"/>
          <w:sz w:val="24"/>
          <w:szCs w:val="24"/>
        </w:rPr>
        <w:t>政府採購中心</w:t>
      </w:r>
      <w:r>
        <w:rPr>
          <w:rFonts w:hint="eastAsia" w:ascii="宋体" w:hAnsi="宋体" w:eastAsia="宋体" w:cs="宋体"/>
          <w:sz w:val="24"/>
          <w:szCs w:val="24"/>
          <w:u w:val="single"/>
        </w:rPr>
        <w:t xml:space="preserve">         </w:t>
      </w:r>
      <w:r>
        <w:rPr>
          <w:rFonts w:hint="eastAsia" w:ascii="宋体" w:hAnsi="宋体" w:eastAsia="宋体" w:cs="宋体"/>
          <w:sz w:val="24"/>
          <w:szCs w:val="24"/>
        </w:rPr>
        <w:t>採購專案（專案編號：</w:t>
      </w:r>
      <w:r>
        <w:rPr>
          <w:rFonts w:hint="eastAsia" w:eastAsia="宋体" w:cs="宋体"/>
          <w:color w:val="000000"/>
          <w:sz w:val="24"/>
          <w:szCs w:val="21"/>
        </w:rPr>
        <w:t>XX</w:t>
      </w:r>
      <w:r>
        <w:rPr>
          <w:rFonts w:hint="eastAsia" w:ascii="宋体" w:hAnsi="宋体" w:eastAsia="宋体" w:cs="宋体"/>
          <w:sz w:val="24"/>
          <w:szCs w:val="24"/>
        </w:rPr>
        <w:t>）的《招標檔》、乙方的《投標檔》及《中標通知書》，甲、乙雙方同意簽訂本合同。詳細技術說明及其他有關合同專案的特定資訊由合同附件予以說明，合同附件及本項目的招標檔、投標檔、《中標通知書》等均為本合同不可分割的部分。雙方同意共同遵守如下條款：</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3" w:name="_Toc308164852"/>
      <w:bookmarkStart w:id="4" w:name="_Toc217446107"/>
      <w:r>
        <w:rPr>
          <w:rFonts w:hint="eastAsia" w:ascii="黑体" w:hAnsi="黑体" w:eastAsia="宋体" w:cs="黑体"/>
          <w:sz w:val="28"/>
          <w:szCs w:val="28"/>
        </w:rPr>
        <w:t>一、合同貨物</w:t>
      </w:r>
      <w:bookmarkEnd w:id="3"/>
      <w:bookmarkEnd w:id="4"/>
    </w:p>
    <w:tbl>
      <w:tblPr>
        <w:tblStyle w:val="12"/>
        <w:tblW w:w="9600" w:type="dxa"/>
        <w:tblInd w:w="-129" w:type="dxa"/>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
      <w:tblGrid>
        <w:gridCol w:w="1137"/>
        <w:gridCol w:w="1260"/>
        <w:gridCol w:w="720"/>
        <w:gridCol w:w="720"/>
        <w:gridCol w:w="900"/>
        <w:gridCol w:w="900"/>
        <w:gridCol w:w="896"/>
        <w:gridCol w:w="904"/>
        <w:gridCol w:w="678"/>
        <w:gridCol w:w="690"/>
        <w:gridCol w:w="795"/>
      </w:tblGrid>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385" w:hRule="atLeast"/>
        </w:trPr>
        <w:tc>
          <w:tcPr>
            <w:tcW w:w="1137" w:type="dxa"/>
            <w:vMerge w:val="restart"/>
            <w:tcBorders>
              <w:top w:val="single" w:color="auto" w:sz="4" w:space="0"/>
              <w:left w:val="single" w:color="auto" w:sz="4" w:space="0"/>
              <w:right w:val="single" w:color="auto" w:sz="4" w:space="0"/>
            </w:tcBorders>
            <w:vAlign w:val="center"/>
          </w:tcPr>
          <w:p>
            <w:pPr>
              <w:pStyle w:val="13"/>
              <w:ind w:left="0" w:leftChars="0" w:firstLine="0" w:firstLineChars="0"/>
              <w:rPr>
                <w:rFonts w:hint="eastAsia"/>
              </w:rPr>
            </w:pPr>
            <w:r>
              <w:rPr>
                <w:rFonts w:hint="eastAsia" w:eastAsia="宋体"/>
                <w:lang w:eastAsia="zh-CN"/>
              </w:rPr>
              <w:t>貨</w:t>
            </w:r>
            <w:r>
              <w:rPr>
                <w:rFonts w:hint="eastAsia" w:eastAsia="宋体"/>
              </w:rPr>
              <w:t>物</w:t>
            </w:r>
          </w:p>
          <w:p>
            <w:pPr>
              <w:pStyle w:val="13"/>
              <w:ind w:left="0" w:leftChars="0" w:firstLine="0" w:firstLineChars="0"/>
            </w:pPr>
            <w:r>
              <w:rPr>
                <w:rFonts w:hint="eastAsia" w:eastAsia="宋体"/>
              </w:rPr>
              <w:t>品名</w:t>
            </w:r>
          </w:p>
        </w:tc>
        <w:tc>
          <w:tcPr>
            <w:tcW w:w="1260" w:type="dxa"/>
            <w:vMerge w:val="restart"/>
            <w:tcBorders>
              <w:top w:val="single" w:color="auto" w:sz="4" w:space="0"/>
              <w:left w:val="single" w:color="auto" w:sz="4" w:space="0"/>
              <w:right w:val="single" w:color="auto" w:sz="4" w:space="0"/>
            </w:tcBorders>
            <w:vAlign w:val="center"/>
          </w:tcPr>
          <w:p>
            <w:pPr>
              <w:pStyle w:val="13"/>
            </w:pPr>
            <w:r>
              <w:rPr>
                <w:rFonts w:hint="eastAsia" w:eastAsia="宋体"/>
              </w:rPr>
              <w:t>規格</w:t>
            </w:r>
          </w:p>
          <w:p>
            <w:pPr>
              <w:pStyle w:val="13"/>
            </w:pPr>
            <w:r>
              <w:rPr>
                <w:rFonts w:hint="eastAsia" w:eastAsia="宋体"/>
              </w:rPr>
              <w:t>型號</w:t>
            </w:r>
          </w:p>
        </w:tc>
        <w:tc>
          <w:tcPr>
            <w:tcW w:w="72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單位</w:t>
            </w:r>
          </w:p>
        </w:tc>
        <w:tc>
          <w:tcPr>
            <w:tcW w:w="72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數量</w:t>
            </w:r>
          </w:p>
        </w:tc>
        <w:tc>
          <w:tcPr>
            <w:tcW w:w="90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單價</w:t>
            </w:r>
          </w:p>
          <w:p>
            <w:pPr>
              <w:pStyle w:val="13"/>
              <w:ind w:left="0" w:leftChars="0" w:firstLine="0" w:firstLineChars="0"/>
            </w:pPr>
            <w:r>
              <w:rPr>
                <w:rFonts w:hint="eastAsia" w:eastAsia="宋体"/>
              </w:rPr>
              <w:t>（萬元）</w:t>
            </w:r>
          </w:p>
        </w:tc>
        <w:tc>
          <w:tcPr>
            <w:tcW w:w="90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總價（萬元）</w:t>
            </w:r>
          </w:p>
        </w:tc>
        <w:tc>
          <w:tcPr>
            <w:tcW w:w="2478" w:type="dxa"/>
            <w:gridSpan w:val="3"/>
            <w:tcBorders>
              <w:top w:val="single" w:color="auto" w:sz="4" w:space="0"/>
              <w:left w:val="single" w:color="auto" w:sz="4" w:space="0"/>
              <w:bottom w:val="single" w:color="auto" w:sz="4" w:space="0"/>
              <w:right w:val="single" w:color="auto" w:sz="4" w:space="0"/>
            </w:tcBorders>
            <w:vAlign w:val="center"/>
          </w:tcPr>
          <w:p>
            <w:pPr>
              <w:pStyle w:val="13"/>
            </w:pPr>
            <w:r>
              <w:rPr>
                <w:rFonts w:hint="eastAsia" w:eastAsia="宋体"/>
              </w:rPr>
              <w:t>資金來源（萬元）</w:t>
            </w:r>
          </w:p>
        </w:tc>
        <w:tc>
          <w:tcPr>
            <w:tcW w:w="690"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隨機</w:t>
            </w:r>
          </w:p>
          <w:p>
            <w:pPr>
              <w:pStyle w:val="13"/>
              <w:ind w:left="0" w:leftChars="0" w:firstLine="0" w:firstLineChars="0"/>
            </w:pPr>
            <w:r>
              <w:rPr>
                <w:rFonts w:hint="eastAsia" w:eastAsia="宋体"/>
              </w:rPr>
              <w:t>配件</w:t>
            </w:r>
          </w:p>
        </w:tc>
        <w:tc>
          <w:tcPr>
            <w:tcW w:w="795" w:type="dxa"/>
            <w:vMerge w:val="restart"/>
            <w:tcBorders>
              <w:top w:val="single" w:color="auto" w:sz="4" w:space="0"/>
              <w:left w:val="single" w:color="auto" w:sz="4" w:space="0"/>
              <w:right w:val="single" w:color="auto" w:sz="4" w:space="0"/>
            </w:tcBorders>
            <w:vAlign w:val="center"/>
          </w:tcPr>
          <w:p>
            <w:pPr>
              <w:pStyle w:val="13"/>
              <w:ind w:left="0" w:leftChars="0" w:firstLine="0" w:firstLineChars="0"/>
            </w:pPr>
            <w:r>
              <w:rPr>
                <w:rFonts w:hint="eastAsia" w:eastAsia="宋体"/>
              </w:rPr>
              <w:t>交貨期</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402" w:hRule="atLeast"/>
        </w:trPr>
        <w:tc>
          <w:tcPr>
            <w:tcW w:w="1137" w:type="dxa"/>
            <w:vMerge w:val="continue"/>
            <w:tcBorders>
              <w:left w:val="single" w:color="auto" w:sz="4" w:space="0"/>
              <w:bottom w:val="single" w:color="auto" w:sz="4" w:space="0"/>
              <w:right w:val="single" w:color="auto" w:sz="4" w:space="0"/>
            </w:tcBorders>
            <w:vAlign w:val="center"/>
          </w:tcPr>
          <w:p/>
        </w:tc>
        <w:tc>
          <w:tcPr>
            <w:tcW w:w="1260" w:type="dxa"/>
            <w:vMerge w:val="continue"/>
            <w:tcBorders>
              <w:left w:val="single" w:color="auto" w:sz="4" w:space="0"/>
              <w:bottom w:val="single" w:color="auto" w:sz="4" w:space="0"/>
              <w:right w:val="single" w:color="auto" w:sz="4" w:space="0"/>
            </w:tcBorders>
            <w:vAlign w:val="center"/>
          </w:tcPr>
          <w:p/>
        </w:tc>
        <w:tc>
          <w:tcPr>
            <w:tcW w:w="720" w:type="dxa"/>
            <w:vMerge w:val="continue"/>
            <w:tcBorders>
              <w:left w:val="single" w:color="auto" w:sz="4" w:space="0"/>
              <w:bottom w:val="single" w:color="auto" w:sz="4" w:space="0"/>
              <w:right w:val="single" w:color="auto" w:sz="4" w:space="0"/>
            </w:tcBorders>
            <w:vAlign w:val="center"/>
          </w:tcPr>
          <w:p/>
        </w:tc>
        <w:tc>
          <w:tcPr>
            <w:tcW w:w="720" w:type="dxa"/>
            <w:vMerge w:val="continue"/>
            <w:tcBorders>
              <w:left w:val="single" w:color="auto" w:sz="4" w:space="0"/>
              <w:bottom w:val="single" w:color="auto" w:sz="4" w:space="0"/>
              <w:right w:val="single" w:color="auto" w:sz="4" w:space="0"/>
            </w:tcBorders>
            <w:vAlign w:val="center"/>
          </w:tcPr>
          <w:p/>
        </w:tc>
        <w:tc>
          <w:tcPr>
            <w:tcW w:w="900" w:type="dxa"/>
            <w:vMerge w:val="continue"/>
            <w:tcBorders>
              <w:left w:val="single" w:color="auto" w:sz="4" w:space="0"/>
              <w:bottom w:val="single" w:color="auto" w:sz="4" w:space="0"/>
              <w:right w:val="single" w:color="auto" w:sz="4" w:space="0"/>
            </w:tcBorders>
            <w:vAlign w:val="center"/>
          </w:tcPr>
          <w:p/>
        </w:tc>
        <w:tc>
          <w:tcPr>
            <w:tcW w:w="900" w:type="dxa"/>
            <w:vMerge w:val="continue"/>
            <w:tcBorders>
              <w:left w:val="single" w:color="auto" w:sz="4" w:space="0"/>
              <w:bottom w:val="single" w:color="auto" w:sz="4" w:space="0"/>
              <w:right w:val="single" w:color="auto" w:sz="4" w:space="0"/>
            </w:tcBorders>
            <w:vAlign w:val="center"/>
          </w:tcPr>
          <w:p/>
        </w:tc>
        <w:tc>
          <w:tcPr>
            <w:tcW w:w="896"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eastAsia="宋体"/>
              </w:rPr>
              <w:t>預算內</w:t>
            </w:r>
          </w:p>
        </w:tc>
        <w:tc>
          <w:tcPr>
            <w:tcW w:w="904"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eastAsia="宋体"/>
              </w:rPr>
              <w:t>預算外</w:t>
            </w:r>
          </w:p>
        </w:tc>
        <w:tc>
          <w:tcPr>
            <w:tcW w:w="678" w:type="dxa"/>
            <w:tcBorders>
              <w:top w:val="single" w:color="auto" w:sz="4" w:space="0"/>
              <w:left w:val="single" w:color="auto" w:sz="4" w:space="0"/>
              <w:bottom w:val="single" w:color="auto" w:sz="4" w:space="0"/>
              <w:right w:val="single" w:color="auto" w:sz="4" w:space="0"/>
            </w:tcBorders>
            <w:vAlign w:val="center"/>
          </w:tcPr>
          <w:p>
            <w:pPr>
              <w:ind w:left="0" w:leftChars="0" w:firstLine="0" w:firstLineChars="0"/>
            </w:pPr>
            <w:r>
              <w:rPr>
                <w:rFonts w:hint="eastAsia" w:eastAsia="宋体"/>
                <w:lang w:eastAsia="zh-CN"/>
              </w:rPr>
              <w:t>其</w:t>
            </w:r>
            <w:r>
              <w:rPr>
                <w:rFonts w:hint="eastAsia" w:eastAsia="宋体"/>
              </w:rPr>
              <w:t>他</w:t>
            </w:r>
          </w:p>
        </w:tc>
        <w:tc>
          <w:tcPr>
            <w:tcW w:w="690" w:type="dxa"/>
            <w:vMerge w:val="continue"/>
            <w:tcBorders>
              <w:left w:val="single" w:color="auto" w:sz="4" w:space="0"/>
              <w:bottom w:val="single" w:color="auto" w:sz="4" w:space="0"/>
              <w:right w:val="single" w:color="auto" w:sz="4" w:space="0"/>
            </w:tcBorders>
            <w:vAlign w:val="center"/>
          </w:tcPr>
          <w:p/>
        </w:tc>
        <w:tc>
          <w:tcPr>
            <w:tcW w:w="795" w:type="dxa"/>
            <w:vMerge w:val="continue"/>
            <w:tcBorders>
              <w:left w:val="single" w:color="auto" w:sz="4" w:space="0"/>
              <w:bottom w:val="single" w:color="auto" w:sz="4" w:space="0"/>
              <w:right w:val="single" w:color="auto" w:sz="4" w:space="0"/>
            </w:tcBorders>
            <w:vAlign w:val="center"/>
          </w:tcP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647" w:hRule="atLeast"/>
        </w:trPr>
        <w:tc>
          <w:tcPr>
            <w:tcW w:w="1137"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126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896" w:type="dxa"/>
            <w:tcBorders>
              <w:top w:val="single" w:color="auto" w:sz="4" w:space="0"/>
              <w:left w:val="single" w:color="auto" w:sz="4" w:space="0"/>
              <w:bottom w:val="single" w:color="auto" w:sz="4" w:space="0"/>
              <w:right w:val="single" w:color="auto" w:sz="4" w:space="0"/>
            </w:tcBorders>
            <w:vAlign w:val="center"/>
          </w:tcPr>
          <w:p/>
        </w:tc>
        <w:tc>
          <w:tcPr>
            <w:tcW w:w="904" w:type="dxa"/>
            <w:tcBorders>
              <w:top w:val="single" w:color="auto" w:sz="4" w:space="0"/>
              <w:left w:val="single" w:color="auto" w:sz="4" w:space="0"/>
              <w:bottom w:val="single" w:color="auto" w:sz="4" w:space="0"/>
              <w:right w:val="single" w:color="auto" w:sz="4" w:space="0"/>
            </w:tcBorders>
            <w:vAlign w:val="center"/>
          </w:tcPr>
          <w:p/>
        </w:tc>
        <w:tc>
          <w:tcPr>
            <w:tcW w:w="678"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690" w:type="dxa"/>
            <w:tcBorders>
              <w:top w:val="single" w:color="auto" w:sz="4" w:space="0"/>
              <w:left w:val="single" w:color="auto" w:sz="4" w:space="0"/>
              <w:bottom w:val="single" w:color="auto" w:sz="4" w:space="0"/>
              <w:right w:val="single" w:color="auto" w:sz="4" w:space="0"/>
            </w:tcBorders>
            <w:vAlign w:val="center"/>
          </w:tcPr>
          <w:p/>
        </w:tc>
        <w:tc>
          <w:tcPr>
            <w:tcW w:w="795"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r>
      <w:tr>
        <w:tblPrEx>
          <w:tblBorders>
            <w:top w:val="single" w:color="auto" w:sz="4" w:space="0"/>
            <w:left w:val="single" w:color="auto" w:sz="4" w:space="0"/>
            <w:bottom w:val="single" w:color="auto" w:sz="4" w:space="0"/>
            <w:right w:val="single" w:color="auto" w:sz="4" w:space="0"/>
            <w:insideH w:val="none" w:color="auto" w:sz="0" w:space="0"/>
            <w:insideV w:val="none" w:color="auto" w:sz="0" w:space="0"/>
          </w:tblBorders>
          <w:tblLayout w:type="fixed"/>
          <w:tblCellMar>
            <w:top w:w="0" w:type="dxa"/>
            <w:left w:w="108" w:type="dxa"/>
            <w:bottom w:w="0" w:type="dxa"/>
            <w:right w:w="108" w:type="dxa"/>
          </w:tblCellMar>
        </w:tblPrEx>
        <w:trPr>
          <w:trHeight w:val="647" w:hRule="atLeast"/>
        </w:trPr>
        <w:tc>
          <w:tcPr>
            <w:tcW w:w="1137"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126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72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900"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896" w:type="dxa"/>
            <w:tcBorders>
              <w:top w:val="single" w:color="auto" w:sz="4" w:space="0"/>
              <w:left w:val="single" w:color="auto" w:sz="4" w:space="0"/>
              <w:bottom w:val="single" w:color="auto" w:sz="4" w:space="0"/>
              <w:right w:val="single" w:color="auto" w:sz="4" w:space="0"/>
            </w:tcBorders>
            <w:vAlign w:val="center"/>
          </w:tcPr>
          <w:p/>
        </w:tc>
        <w:tc>
          <w:tcPr>
            <w:tcW w:w="904" w:type="dxa"/>
            <w:tcBorders>
              <w:top w:val="single" w:color="auto" w:sz="4" w:space="0"/>
              <w:left w:val="single" w:color="auto" w:sz="4" w:space="0"/>
              <w:bottom w:val="single" w:color="auto" w:sz="4" w:space="0"/>
              <w:right w:val="single" w:color="auto" w:sz="4" w:space="0"/>
            </w:tcBorders>
            <w:vAlign w:val="center"/>
          </w:tcPr>
          <w:p/>
        </w:tc>
        <w:tc>
          <w:tcPr>
            <w:tcW w:w="678"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c>
          <w:tcPr>
            <w:tcW w:w="690" w:type="dxa"/>
            <w:tcBorders>
              <w:top w:val="single" w:color="auto" w:sz="4" w:space="0"/>
              <w:left w:val="single" w:color="auto" w:sz="4" w:space="0"/>
              <w:bottom w:val="single" w:color="auto" w:sz="4" w:space="0"/>
              <w:right w:val="single" w:color="auto" w:sz="4" w:space="0"/>
            </w:tcBorders>
            <w:vAlign w:val="center"/>
          </w:tcPr>
          <w:p/>
        </w:tc>
        <w:tc>
          <w:tcPr>
            <w:tcW w:w="795" w:type="dxa"/>
            <w:tcBorders>
              <w:top w:val="single" w:color="auto" w:sz="4" w:space="0"/>
              <w:left w:val="single" w:color="auto" w:sz="4" w:space="0"/>
              <w:bottom w:val="single" w:color="auto" w:sz="4" w:space="0"/>
              <w:right w:val="single" w:color="auto" w:sz="4" w:space="0"/>
            </w:tcBorders>
            <w:vAlign w:val="center"/>
          </w:tcPr>
          <w:p>
            <w:r>
              <w:rPr>
                <w:rFonts w:eastAsia="宋体"/>
              </w:rPr>
              <w:t> </w:t>
            </w:r>
          </w:p>
        </w:tc>
      </w:tr>
    </w:tbl>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5" w:name="_Toc308164853"/>
      <w:bookmarkStart w:id="6" w:name="_Toc217446108"/>
      <w:r>
        <w:rPr>
          <w:rFonts w:hint="eastAsia" w:ascii="黑体" w:hAnsi="黑体" w:eastAsia="宋体" w:cs="黑体"/>
          <w:sz w:val="28"/>
          <w:szCs w:val="28"/>
        </w:rPr>
        <w:t>二、合同總價</w:t>
      </w:r>
      <w:bookmarkEnd w:id="5"/>
      <w:bookmarkEnd w:id="6"/>
    </w:p>
    <w:p>
      <w:pPr>
        <w:spacing w:line="400" w:lineRule="exact"/>
        <w:ind w:firstLine="420" w:firstLineChars="175"/>
        <w:rPr>
          <w:rFonts w:ascii="宋体" w:hAnsi="宋体"/>
          <w:sz w:val="24"/>
          <w:szCs w:val="24"/>
        </w:rPr>
      </w:pPr>
      <w:r>
        <w:rPr>
          <w:rFonts w:hint="eastAsia" w:ascii="宋体" w:hAnsi="宋体" w:eastAsia="宋体"/>
          <w:sz w:val="24"/>
          <w:szCs w:val="24"/>
        </w:rPr>
        <w:t>合同總價為人民幣大寫：</w:t>
      </w:r>
      <w:r>
        <w:rPr>
          <w:rFonts w:ascii="宋体" w:hAnsi="宋体" w:eastAsia="宋体"/>
          <w:sz w:val="24"/>
          <w:szCs w:val="24"/>
          <w:u w:val="single"/>
        </w:rPr>
        <w:t xml:space="preserve">                </w:t>
      </w:r>
      <w:r>
        <w:rPr>
          <w:rFonts w:hint="eastAsia" w:ascii="宋体" w:hAnsi="宋体" w:eastAsia="宋体"/>
          <w:sz w:val="24"/>
          <w:szCs w:val="24"/>
        </w:rPr>
        <w:t>元，即</w:t>
      </w:r>
      <w:r>
        <w:rPr>
          <w:rFonts w:ascii="宋体" w:hAnsi="宋体" w:eastAsia="宋体"/>
          <w:sz w:val="24"/>
          <w:szCs w:val="24"/>
        </w:rPr>
        <w:t>RMB</w:t>
      </w:r>
      <w:r>
        <w:rPr>
          <w:rFonts w:hint="eastAsia" w:ascii="宋体" w:hAnsi="宋体" w:eastAsia="宋体"/>
          <w:sz w:val="24"/>
          <w:szCs w:val="24"/>
        </w:rPr>
        <w:t>￥</w:t>
      </w:r>
      <w:r>
        <w:rPr>
          <w:rFonts w:ascii="宋体" w:hAnsi="宋体" w:eastAsia="宋体"/>
          <w:sz w:val="24"/>
          <w:szCs w:val="24"/>
          <w:u w:val="single"/>
        </w:rPr>
        <w:t xml:space="preserve">        </w:t>
      </w:r>
      <w:r>
        <w:rPr>
          <w:rFonts w:hint="eastAsia" w:ascii="宋体" w:hAnsi="宋体" w:eastAsia="宋体"/>
          <w:sz w:val="24"/>
          <w:szCs w:val="24"/>
        </w:rPr>
        <w:t>元；該合同總價已包括貨物設計、材料、製造、包裝、運輸、安裝、調試、檢測、驗收合格交付使用之前及保修期內保修服務與備用物件等等所有其他有關各項的含稅費用。本合同執行期間合同總價不變，甲方無須另向乙方支付本合同規定之外的其他任何費用。</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7" w:name="_Toc217446109"/>
      <w:bookmarkStart w:id="8" w:name="_Toc308164854"/>
      <w:r>
        <w:rPr>
          <w:rFonts w:hint="eastAsia" w:ascii="黑体" w:hAnsi="黑体" w:eastAsia="宋体" w:cs="黑体"/>
          <w:sz w:val="28"/>
          <w:szCs w:val="28"/>
        </w:rPr>
        <w:t>三、品質要求</w:t>
      </w:r>
      <w:bookmarkEnd w:id="7"/>
      <w:bookmarkEnd w:id="8"/>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、乙方須提供全新的貨物（含零部件、配件等），表面無劃傷、無碰撞痕跡，且權屬清楚，不得侵害他人的知識產權。</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2、貨物必須符合或優於國家（行業）</w:t>
      </w:r>
      <w:r>
        <w:rPr>
          <w:rFonts w:hint="eastAsia" w:ascii="宋体" w:hAnsi="宋体" w:eastAsia="宋体" w:cs="宋体"/>
          <w:sz w:val="24"/>
          <w:szCs w:val="24"/>
          <w:u w:val="single"/>
        </w:rPr>
        <w:t xml:space="preserve">          </w:t>
      </w:r>
      <w:r>
        <w:rPr>
          <w:rFonts w:hint="eastAsia" w:ascii="宋体" w:hAnsi="宋体" w:eastAsia="宋体" w:cs="宋体"/>
          <w:sz w:val="24"/>
          <w:szCs w:val="24"/>
        </w:rPr>
        <w:t>標準，以及本項目招標檔的品質要求和技術指標與出廠標準。</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3、乙方須在本合同簽訂之日起</w:t>
      </w:r>
      <w:r>
        <w:rPr>
          <w:rFonts w:hint="eastAsia" w:ascii="宋体" w:hAnsi="宋体" w:eastAsia="宋体" w:cs="宋体"/>
          <w:sz w:val="24"/>
          <w:szCs w:val="24"/>
          <w:u w:val="single"/>
        </w:rPr>
        <w:t xml:space="preserve">   </w:t>
      </w:r>
      <w:r>
        <w:rPr>
          <w:rFonts w:hint="eastAsia" w:ascii="宋体" w:hAnsi="宋体" w:eastAsia="宋体" w:cs="宋体"/>
          <w:sz w:val="24"/>
          <w:szCs w:val="24"/>
        </w:rPr>
        <w:t>日內送交貨物成品樣品給甲方確認，在甲方出具樣品確認書並封存成品樣品外觀尺寸後，乙方才能按樣生產，並以此樣品作為驗收樣品；每臺貨物上均應有產品品質檢驗合格標誌。</w:t>
      </w:r>
    </w:p>
    <w:p>
      <w:pPr>
        <w:spacing w:line="400" w:lineRule="exact"/>
        <w:ind w:firstLine="480" w:firstLineChars="200"/>
        <w:rPr>
          <w:rFonts w:ascii="宋体" w:hAnsi="宋体" w:cs="宋体"/>
          <w:sz w:val="24"/>
          <w:szCs w:val="24"/>
        </w:rPr>
      </w:pPr>
      <w:r>
        <w:rPr>
          <w:rFonts w:ascii="宋体" w:hAnsi="宋体" w:eastAsia="宋体" w:cs="宋体"/>
          <w:sz w:val="24"/>
          <w:szCs w:val="24"/>
        </w:rPr>
        <w:t>4</w:t>
      </w:r>
      <w:r>
        <w:rPr>
          <w:rFonts w:hint="eastAsia" w:ascii="宋体" w:hAnsi="宋体" w:eastAsia="宋体" w:cs="宋体"/>
          <w:sz w:val="24"/>
          <w:szCs w:val="24"/>
        </w:rPr>
        <w:t>、貨物製造品質出現問題，乙方應負責三包（包修、包換、包退），費用由乙方負擔，甲方有權到乙方生產場地檢查貨物品質和生產進度。</w:t>
      </w:r>
    </w:p>
    <w:p>
      <w:pPr>
        <w:spacing w:line="400" w:lineRule="exact"/>
        <w:ind w:firstLine="480" w:firstLineChars="200"/>
        <w:rPr>
          <w:rFonts w:ascii="宋体" w:hAnsi="宋体" w:cs="宋体"/>
          <w:sz w:val="24"/>
          <w:szCs w:val="24"/>
        </w:rPr>
      </w:pPr>
      <w:r>
        <w:rPr>
          <w:rFonts w:ascii="宋体" w:hAnsi="宋体" w:eastAsia="宋体" w:cs="宋体"/>
          <w:sz w:val="24"/>
          <w:szCs w:val="24"/>
        </w:rPr>
        <w:t>5</w:t>
      </w:r>
      <w:r>
        <w:rPr>
          <w:rFonts w:hint="eastAsia" w:ascii="宋体" w:hAnsi="宋体" w:eastAsia="宋体" w:cs="宋体"/>
          <w:sz w:val="24"/>
          <w:szCs w:val="24"/>
        </w:rPr>
        <w:t>、貨到現場後由於甲方保管不當造成的品質問題，乙方亦應負責修理，但費用由甲方負擔。</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9" w:name="_Toc217446110"/>
      <w:bookmarkStart w:id="10" w:name="_Toc308164855"/>
      <w:r>
        <w:rPr>
          <w:rFonts w:hint="eastAsia" w:ascii="黑体" w:hAnsi="黑体" w:eastAsia="宋体" w:cs="黑体"/>
          <w:sz w:val="28"/>
          <w:szCs w:val="28"/>
        </w:rPr>
        <w:t>四、交貨及驗收</w:t>
      </w:r>
      <w:bookmarkEnd w:id="9"/>
      <w:bookmarkEnd w:id="10"/>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、乙方交貨期限為合同簽訂生效後的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日內，在合同簽訂生效之日起</w:t>
      </w:r>
      <w:r>
        <w:rPr>
          <w:rFonts w:hint="eastAsia" w:ascii="宋体" w:hAnsi="宋体" w:eastAsia="宋体" w:cs="宋体"/>
          <w:sz w:val="24"/>
          <w:szCs w:val="24"/>
          <w:u w:val="single"/>
        </w:rPr>
        <w:t xml:space="preserve">    </w:t>
      </w:r>
      <w:r>
        <w:rPr>
          <w:rFonts w:hint="eastAsia" w:ascii="宋体" w:hAnsi="宋体" w:eastAsia="宋体" w:cs="宋体"/>
          <w:sz w:val="24"/>
          <w:szCs w:val="24"/>
        </w:rPr>
        <w:t>天內交貨到甲方指定地點，隨即在</w:t>
      </w:r>
      <w:r>
        <w:rPr>
          <w:rFonts w:hint="eastAsia" w:ascii="宋体" w:hAnsi="宋体" w:eastAsia="宋体" w:cs="宋体"/>
          <w:sz w:val="24"/>
          <w:szCs w:val="24"/>
          <w:u w:val="single"/>
        </w:rPr>
        <w:t xml:space="preserve">    </w:t>
      </w:r>
      <w:r>
        <w:rPr>
          <w:rFonts w:hint="eastAsia" w:ascii="宋体" w:hAnsi="宋体" w:eastAsia="宋体" w:cs="宋体"/>
          <w:sz w:val="24"/>
          <w:szCs w:val="24"/>
        </w:rPr>
        <w:t>日內全部完成安裝調試驗收合格交付使用，並且最遲應在</w:t>
      </w:r>
      <w:r>
        <w:rPr>
          <w:rFonts w:hint="eastAsia" w:ascii="宋体" w:hAnsi="宋体" w:eastAsia="宋体" w:cs="宋体"/>
          <w:sz w:val="24"/>
          <w:szCs w:val="24"/>
          <w:u w:val="single"/>
        </w:rPr>
        <w:t xml:space="preserve">    </w:t>
      </w:r>
      <w:r>
        <w:rPr>
          <w:rFonts w:hint="eastAsia" w:ascii="宋体" w:hAnsi="宋体" w:eastAsia="宋体" w:cs="宋体"/>
          <w:sz w:val="24"/>
          <w:szCs w:val="24"/>
        </w:rPr>
        <w:t>年</w:t>
      </w:r>
      <w:r>
        <w:rPr>
          <w:rFonts w:hint="eastAsia" w:ascii="宋体" w:hAnsi="宋体" w:eastAsia="宋体" w:cs="宋体"/>
          <w:sz w:val="24"/>
          <w:szCs w:val="24"/>
          <w:u w:val="single"/>
        </w:rPr>
        <w:t xml:space="preserve">    </w:t>
      </w:r>
      <w:r>
        <w:rPr>
          <w:rFonts w:hint="eastAsia" w:ascii="宋体" w:hAnsi="宋体" w:eastAsia="宋体" w:cs="宋体"/>
          <w:sz w:val="24"/>
          <w:szCs w:val="24"/>
        </w:rPr>
        <w:t>月</w:t>
      </w:r>
      <w:r>
        <w:rPr>
          <w:rFonts w:hint="eastAsia" w:ascii="宋体" w:hAnsi="宋体" w:eastAsia="宋体" w:cs="宋体"/>
          <w:sz w:val="24"/>
          <w:szCs w:val="24"/>
          <w:u w:val="single"/>
        </w:rPr>
        <w:t xml:space="preserve">    </w:t>
      </w:r>
      <w:r>
        <w:rPr>
          <w:rFonts w:hint="eastAsia" w:ascii="宋体" w:hAnsi="宋体" w:eastAsia="宋体" w:cs="宋体"/>
          <w:sz w:val="24"/>
          <w:szCs w:val="24"/>
        </w:rPr>
        <w:t>日前全部完成安裝調試驗收合格交付使用</w:t>
      </w:r>
      <w:r>
        <w:rPr>
          <w:rFonts w:ascii="宋体" w:hAnsi="宋体" w:eastAsia="宋体" w:cs="宋体"/>
          <w:sz w:val="24"/>
          <w:szCs w:val="24"/>
        </w:rPr>
        <w:t>(</w:t>
      </w:r>
      <w:r>
        <w:rPr>
          <w:rFonts w:hint="eastAsia" w:ascii="宋体" w:hAnsi="宋体" w:eastAsia="宋体" w:cs="宋体"/>
          <w:sz w:val="24"/>
          <w:szCs w:val="24"/>
        </w:rPr>
        <w:t>如由於採購人的原因造成合同延遲簽訂或驗收的，時間順延</w:t>
      </w:r>
      <w:r>
        <w:rPr>
          <w:rFonts w:ascii="宋体" w:hAnsi="宋体" w:eastAsia="宋体" w:cs="宋体"/>
          <w:sz w:val="24"/>
          <w:szCs w:val="24"/>
        </w:rPr>
        <w:t>)</w:t>
      </w:r>
      <w:r>
        <w:rPr>
          <w:rFonts w:hint="eastAsia" w:ascii="宋体" w:hAnsi="宋体" w:eastAsia="宋体" w:cs="宋体"/>
          <w:sz w:val="24"/>
          <w:szCs w:val="24"/>
        </w:rPr>
        <w:t>。交貨驗收時須提供產品質檢部門從同類產品中抽樣檢查合格的檢測報告。</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、驗收由甲方組織，乙方配合進行：</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(1) </w:t>
      </w:r>
      <w:r>
        <w:rPr>
          <w:rFonts w:hint="eastAsia" w:ascii="宋体" w:hAnsi="宋体" w:eastAsia="宋体" w:cs="宋体"/>
          <w:sz w:val="24"/>
          <w:szCs w:val="24"/>
        </w:rPr>
        <w:t>貨物在乙方通知安裝調試完畢後</w:t>
      </w:r>
      <w:r>
        <w:rPr>
          <w:rFonts w:hint="eastAsia" w:ascii="宋体" w:hAnsi="宋体" w:eastAsia="宋体" w:cs="宋体"/>
          <w:sz w:val="24"/>
          <w:szCs w:val="24"/>
          <w:u w:val="single"/>
        </w:rPr>
        <w:t xml:space="preserve">    </w:t>
      </w:r>
      <w:r>
        <w:rPr>
          <w:rFonts w:hint="eastAsia" w:ascii="宋体" w:hAnsi="宋体" w:eastAsia="宋体" w:cs="宋体"/>
          <w:sz w:val="24"/>
          <w:szCs w:val="24"/>
        </w:rPr>
        <w:t>日內初步驗收。初步驗收合格後，進入</w:t>
      </w:r>
      <w:r>
        <w:rPr>
          <w:rFonts w:hint="eastAsia" w:ascii="宋体" w:hAnsi="宋体" w:eastAsia="宋体" w:cs="宋体"/>
          <w:sz w:val="24"/>
          <w:szCs w:val="24"/>
          <w:u w:val="single"/>
        </w:rPr>
        <w:t xml:space="preserve">    </w:t>
      </w:r>
      <w:r>
        <w:rPr>
          <w:rFonts w:hint="eastAsia" w:ascii="宋体" w:hAnsi="宋体" w:eastAsia="宋体" w:cs="宋体"/>
          <w:sz w:val="24"/>
          <w:szCs w:val="24"/>
        </w:rPr>
        <w:t>試用期；試用期間發生重大品質問題，修復後試用相應順延；試用期結束後</w:t>
      </w:r>
      <w:r>
        <w:rPr>
          <w:rFonts w:hint="eastAsia" w:ascii="宋体" w:hAnsi="宋体" w:eastAsia="宋体" w:cs="宋体"/>
          <w:sz w:val="24"/>
          <w:szCs w:val="24"/>
          <w:u w:val="single"/>
        </w:rPr>
        <w:t xml:space="preserve">    </w:t>
      </w:r>
      <w:r>
        <w:rPr>
          <w:rFonts w:hint="eastAsia" w:ascii="宋体" w:hAnsi="宋体" w:eastAsia="宋体" w:cs="宋体"/>
          <w:sz w:val="24"/>
          <w:szCs w:val="24"/>
        </w:rPr>
        <w:t>日內完成最終驗收；</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(2) </w:t>
      </w:r>
      <w:r>
        <w:rPr>
          <w:rFonts w:hint="eastAsia" w:ascii="宋体" w:hAnsi="宋体" w:eastAsia="宋体" w:cs="宋体"/>
          <w:sz w:val="24"/>
          <w:szCs w:val="24"/>
        </w:rPr>
        <w:t>驗收標準：按國家有關規定以及甲方招標檔的品質要求和技術指標、乙方的投標檔及承諾與本合同約定標準進行驗收；甲乙雙方如對質量要求和技術指標的約定標準有相互抵觸或異議的事項，由甲方在招標與投標檔中按品質要求和技術指標比較優勝的原則確定該項的約定標準進行驗收；</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(3) </w:t>
      </w:r>
      <w:r>
        <w:rPr>
          <w:rFonts w:hint="eastAsia" w:ascii="宋体" w:hAnsi="宋体" w:eastAsia="宋体" w:cs="宋体"/>
          <w:sz w:val="24"/>
          <w:szCs w:val="24"/>
        </w:rPr>
        <w:t>驗收時如發現所交付的貨物有短裝、次品、損壞或其他不符合標準及本合同規定之情形者，甲方應做出詳盡的現場記錄，或由甲乙雙方簽署備忘錄，此現場記錄或備忘錄可用作補充、缺失和更換損壞部件的有效證據，由此產生的時間延誤與有關費用由乙方承擔，驗收期限相應順延；</w:t>
      </w:r>
    </w:p>
    <w:p>
      <w:pPr>
        <w:spacing w:line="400" w:lineRule="exact"/>
        <w:ind w:firstLine="480" w:firstLineChars="200"/>
        <w:rPr>
          <w:rFonts w:ascii="宋体" w:hAnsi="宋体" w:cs="宋体"/>
          <w:sz w:val="24"/>
          <w:szCs w:val="24"/>
        </w:rPr>
      </w:pPr>
      <w:r>
        <w:rPr>
          <w:rFonts w:ascii="宋体" w:hAnsi="宋体" w:eastAsia="宋体" w:cs="宋体"/>
          <w:sz w:val="24"/>
          <w:szCs w:val="24"/>
        </w:rPr>
        <w:t xml:space="preserve">(4) </w:t>
      </w:r>
      <w:r>
        <w:rPr>
          <w:rFonts w:hint="eastAsia" w:ascii="宋体" w:hAnsi="宋体" w:eastAsia="宋体" w:cs="宋体"/>
          <w:sz w:val="24"/>
          <w:szCs w:val="24"/>
        </w:rPr>
        <w:t>如品質驗收合格，雙方簽署品質驗收報告。</w:t>
      </w:r>
    </w:p>
    <w:p>
      <w:pPr>
        <w:spacing w:line="400" w:lineRule="exact"/>
        <w:ind w:firstLine="480" w:firstLineChars="200"/>
        <w:rPr>
          <w:rFonts w:ascii="宋体" w:hAnsi="宋体" w:cs="宋体"/>
          <w:sz w:val="24"/>
          <w:szCs w:val="24"/>
        </w:rPr>
      </w:pPr>
      <w:r>
        <w:rPr>
          <w:rFonts w:ascii="宋体" w:hAnsi="宋体" w:eastAsia="宋体" w:cs="宋体"/>
          <w:sz w:val="24"/>
          <w:szCs w:val="24"/>
        </w:rPr>
        <w:t>3</w:t>
      </w:r>
      <w:r>
        <w:rPr>
          <w:rFonts w:hint="eastAsia" w:ascii="宋体" w:hAnsi="宋体" w:eastAsia="宋体" w:cs="宋体"/>
          <w:sz w:val="24"/>
          <w:szCs w:val="24"/>
        </w:rPr>
        <w:t>、貨物安裝完成後</w:t>
      </w:r>
      <w:r>
        <w:rPr>
          <w:rFonts w:hint="eastAsia" w:ascii="宋体" w:hAnsi="宋体" w:eastAsia="宋体" w:cs="宋体"/>
          <w:sz w:val="24"/>
          <w:szCs w:val="24"/>
          <w:u w:val="single"/>
        </w:rPr>
        <w:t xml:space="preserve">     </w:t>
      </w:r>
      <w:r>
        <w:rPr>
          <w:rFonts w:hint="eastAsia" w:ascii="宋体" w:hAnsi="宋体" w:eastAsia="宋体" w:cs="宋体"/>
          <w:sz w:val="24"/>
          <w:szCs w:val="24"/>
        </w:rPr>
        <w:t>日內，甲方無故不進行驗收工作並已使用貨物的，視同已安裝調試完成並驗收合格。</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4、乙方不能完整交付貨物必須負責補齊，否則視為未按合同約定交貨。</w:t>
      </w:r>
    </w:p>
    <w:p>
      <w:pPr>
        <w:spacing w:line="400" w:lineRule="exact"/>
        <w:ind w:firstLine="480" w:firstLineChars="200"/>
        <w:rPr>
          <w:rFonts w:ascii="宋体" w:hAnsi="宋体" w:cs="宋体"/>
          <w:sz w:val="24"/>
          <w:szCs w:val="24"/>
        </w:rPr>
      </w:pPr>
      <w:r>
        <w:rPr>
          <w:rFonts w:ascii="宋体" w:hAnsi="宋体" w:eastAsia="宋体" w:cs="宋体"/>
          <w:sz w:val="24"/>
          <w:szCs w:val="24"/>
        </w:rPr>
        <w:t>5</w:t>
      </w:r>
      <w:r>
        <w:rPr>
          <w:rFonts w:hint="eastAsia" w:ascii="宋体" w:hAnsi="宋体" w:eastAsia="宋体" w:cs="宋体"/>
          <w:sz w:val="24"/>
          <w:szCs w:val="24"/>
        </w:rPr>
        <w:t>、如貨物經乙方</w:t>
      </w:r>
      <w:r>
        <w:rPr>
          <w:rFonts w:hint="eastAsia" w:ascii="宋体" w:hAnsi="宋体" w:eastAsia="宋体" w:cs="宋体"/>
          <w:sz w:val="24"/>
          <w:szCs w:val="24"/>
          <w:u w:val="single"/>
        </w:rPr>
        <w:t xml:space="preserve">   </w:t>
      </w:r>
      <w:r>
        <w:rPr>
          <w:rFonts w:hint="eastAsia" w:ascii="宋体" w:hAnsi="宋体" w:eastAsia="宋体" w:cs="宋体"/>
          <w:sz w:val="24"/>
          <w:szCs w:val="24"/>
        </w:rPr>
        <w:t>次維修仍不能達到合同約定的品質標準，甲方有權退貨，並視作乙方不能交付貨物而須支付違約賠償金給甲方，甲方還可依法追究乙方的違約責任。</w:t>
      </w:r>
      <w:r>
        <w:rPr>
          <w:rFonts w:ascii="宋体" w:hAnsi="宋体" w:eastAsia="宋体" w:cs="宋体"/>
          <w:sz w:val="24"/>
          <w:szCs w:val="24"/>
        </w:rPr>
        <w:t> </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1" w:name="_Toc217446111"/>
      <w:bookmarkStart w:id="12" w:name="_Toc308164856"/>
      <w:r>
        <w:rPr>
          <w:rFonts w:hint="eastAsia" w:ascii="黑体" w:hAnsi="黑体" w:eastAsia="宋体" w:cs="黑体"/>
          <w:sz w:val="28"/>
          <w:szCs w:val="28"/>
        </w:rPr>
        <w:t>五、付款方式</w:t>
      </w:r>
      <w:bookmarkEnd w:id="11"/>
      <w:bookmarkEnd w:id="12"/>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、甲方在本合同簽訂生效之日起計算款額￥</w:t>
      </w:r>
      <w:r>
        <w:rPr>
          <w:rFonts w:hint="eastAsia" w:ascii="宋体" w:hAnsi="宋体" w:eastAsia="宋体" w:cs="宋体"/>
          <w:sz w:val="24"/>
          <w:szCs w:val="24"/>
          <w:u w:val="single"/>
        </w:rPr>
        <w:t xml:space="preserve">                          </w:t>
      </w:r>
      <w:r>
        <w:rPr>
          <w:rFonts w:hint="eastAsia" w:ascii="宋体" w:hAnsi="宋体" w:eastAsia="宋体" w:cs="宋体"/>
          <w:sz w:val="24"/>
          <w:szCs w:val="24"/>
        </w:rPr>
        <w:t>元，人民幣大寫：</w:t>
      </w:r>
      <w:r>
        <w:rPr>
          <w:rFonts w:hint="eastAsia" w:ascii="宋体" w:hAnsi="宋体" w:eastAsia="宋体" w:cs="宋体"/>
          <w:sz w:val="24"/>
          <w:szCs w:val="24"/>
          <w:u w:val="single"/>
        </w:rPr>
        <w:t xml:space="preserve">                            </w:t>
      </w:r>
      <w:r>
        <w:rPr>
          <w:rFonts w:hint="eastAsia" w:ascii="宋体" w:hAnsi="宋体" w:eastAsia="宋体" w:cs="宋体"/>
          <w:sz w:val="24"/>
          <w:szCs w:val="24"/>
        </w:rPr>
        <w:t>元整）後的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日內支付合同金額百分之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的價款（根據磋商檔要求）；</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、全部貨物安裝調試完畢並驗收合格之日起，甲方接到乙方通知與票據憑證資料以後的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日內，向乙方核撥合同總價的百分之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款項：￥</w:t>
      </w:r>
      <w:r>
        <w:rPr>
          <w:rFonts w:hint="eastAsia" w:ascii="宋体" w:hAnsi="宋体" w:eastAsia="宋体" w:cs="宋体"/>
          <w:sz w:val="24"/>
          <w:szCs w:val="24"/>
          <w:u w:val="single"/>
        </w:rPr>
        <w:t xml:space="preserve">                      </w:t>
      </w:r>
      <w:r>
        <w:rPr>
          <w:rFonts w:hint="eastAsia" w:ascii="宋体" w:hAnsi="宋体" w:eastAsia="宋体" w:cs="宋体"/>
          <w:sz w:val="24"/>
          <w:szCs w:val="24"/>
        </w:rPr>
        <w:t>元，人民幣大寫</w:t>
      </w:r>
      <w:r>
        <w:rPr>
          <w:rFonts w:hint="eastAsia" w:ascii="宋体" w:hAnsi="宋体" w:eastAsia="宋体" w:cs="宋体"/>
          <w:sz w:val="24"/>
          <w:szCs w:val="24"/>
          <w:u w:val="single"/>
        </w:rPr>
        <w:t xml:space="preserve">                      </w:t>
      </w:r>
      <w:r>
        <w:rPr>
          <w:rFonts w:hint="eastAsia" w:ascii="宋体" w:hAnsi="宋体" w:eastAsia="宋体" w:cs="宋体"/>
          <w:sz w:val="24"/>
          <w:szCs w:val="24"/>
        </w:rPr>
        <w:t>元整；</w:t>
      </w:r>
    </w:p>
    <w:p>
      <w:pPr>
        <w:spacing w:line="400" w:lineRule="exact"/>
        <w:ind w:firstLine="480" w:firstLineChars="200"/>
        <w:rPr>
          <w:rFonts w:ascii="宋体" w:hAnsi="宋体" w:cs="宋体"/>
          <w:sz w:val="24"/>
          <w:szCs w:val="24"/>
        </w:rPr>
      </w:pPr>
      <w:r>
        <w:rPr>
          <w:rFonts w:ascii="宋体" w:hAnsi="宋体" w:eastAsia="宋体" w:cs="宋体"/>
          <w:sz w:val="24"/>
          <w:szCs w:val="24"/>
        </w:rPr>
        <w:t>3</w:t>
      </w:r>
      <w:r>
        <w:rPr>
          <w:rFonts w:hint="eastAsia" w:ascii="宋体" w:hAnsi="宋体" w:eastAsia="宋体" w:cs="宋体"/>
          <w:sz w:val="24"/>
          <w:szCs w:val="24"/>
        </w:rPr>
        <w:t>、合同履約保證金：在貨物驗收合格滿</w:t>
      </w:r>
      <w:r>
        <w:rPr>
          <w:rFonts w:hint="eastAsia" w:ascii="宋体" w:hAnsi="宋体" w:eastAsia="宋体" w:cs="宋体"/>
          <w:sz w:val="24"/>
          <w:szCs w:val="24"/>
          <w:u w:val="single"/>
        </w:rPr>
        <w:t xml:space="preserve">    </w:t>
      </w:r>
      <w:r>
        <w:rPr>
          <w:rFonts w:hint="eastAsia" w:ascii="宋体" w:hAnsi="宋体" w:eastAsia="宋体" w:cs="宋体"/>
          <w:sz w:val="24"/>
          <w:szCs w:val="24"/>
        </w:rPr>
        <w:t>後，甲方財務部門接到乙方通知和支付憑證資料檔，以及由甲方確認本合同貨物品質與服務等約定事項已經履行完畢的正式書面檔後的</w:t>
      </w:r>
      <w:r>
        <w:rPr>
          <w:rFonts w:hint="eastAsia" w:ascii="宋体" w:hAnsi="宋体" w:eastAsia="宋体" w:cs="宋体"/>
          <w:sz w:val="24"/>
          <w:szCs w:val="24"/>
          <w:u w:val="single"/>
        </w:rPr>
        <w:t xml:space="preserve">     </w:t>
      </w:r>
      <w:r>
        <w:rPr>
          <w:rFonts w:hint="eastAsia" w:ascii="宋体" w:hAnsi="宋体" w:eastAsia="宋体" w:cs="宋体"/>
          <w:sz w:val="24"/>
          <w:szCs w:val="24"/>
        </w:rPr>
        <w:t>日內，遞交結算憑證資料給銀行並由其向乙方支付價款￥</w:t>
      </w:r>
      <w:r>
        <w:rPr>
          <w:rFonts w:hint="eastAsia" w:ascii="宋体" w:hAnsi="宋体" w:eastAsia="宋体" w:cs="宋体"/>
          <w:sz w:val="24"/>
          <w:szCs w:val="24"/>
          <w:u w:val="single"/>
        </w:rPr>
        <w:t xml:space="preserve">      </w:t>
      </w:r>
      <w:r>
        <w:rPr>
          <w:rFonts w:hint="eastAsia" w:ascii="宋体" w:hAnsi="宋体" w:eastAsia="宋体" w:cs="宋体"/>
          <w:sz w:val="24"/>
          <w:szCs w:val="24"/>
        </w:rPr>
        <w:t>元， 人民幣大寫：</w:t>
      </w:r>
      <w:r>
        <w:rPr>
          <w:rFonts w:hint="eastAsia" w:ascii="宋体" w:hAnsi="宋体" w:eastAsia="宋体" w:cs="宋体"/>
          <w:sz w:val="24"/>
          <w:szCs w:val="24"/>
          <w:u w:val="single"/>
        </w:rPr>
        <w:t xml:space="preserve">              </w:t>
      </w:r>
      <w:r>
        <w:rPr>
          <w:rFonts w:hint="eastAsia" w:ascii="宋体" w:hAnsi="宋体" w:eastAsia="宋体" w:cs="宋体"/>
          <w:sz w:val="24"/>
          <w:szCs w:val="24"/>
        </w:rPr>
        <w:t>元整（根據招標檔要求）；</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4、乙方須向甲方出具合法有效完整的完稅發票及憑證資料進行支付結算。</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3" w:name="_Toc217446112"/>
      <w:bookmarkStart w:id="14" w:name="_Toc308164857"/>
      <w:r>
        <w:rPr>
          <w:rFonts w:hint="eastAsia" w:ascii="黑体" w:hAnsi="黑体" w:eastAsia="宋体" w:cs="黑体"/>
          <w:sz w:val="28"/>
          <w:szCs w:val="28"/>
        </w:rPr>
        <w:t>六、售後服務</w:t>
      </w:r>
      <w:bookmarkEnd w:id="13"/>
      <w:bookmarkEnd w:id="14"/>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、質保期為驗收合格後</w:t>
      </w:r>
      <w:r>
        <w:rPr>
          <w:rFonts w:hint="eastAsia" w:ascii="宋体" w:hAnsi="宋体" w:eastAsia="宋体" w:cs="宋体"/>
          <w:sz w:val="24"/>
          <w:szCs w:val="24"/>
          <w:u w:val="single"/>
        </w:rPr>
        <w:t xml:space="preserve">    </w:t>
      </w:r>
      <w:r>
        <w:rPr>
          <w:rFonts w:hint="eastAsia" w:ascii="宋体" w:hAnsi="宋体" w:eastAsia="宋体" w:cs="宋体"/>
          <w:sz w:val="24"/>
          <w:szCs w:val="24"/>
        </w:rPr>
        <w:t>年，質保期內出現品質問題，乙方在接到通知後</w:t>
      </w:r>
      <w:r>
        <w:rPr>
          <w:rFonts w:hint="eastAsia" w:ascii="宋体" w:hAnsi="宋体" w:eastAsia="宋体" w:cs="宋体"/>
          <w:sz w:val="24"/>
          <w:szCs w:val="24"/>
          <w:u w:val="single"/>
        </w:rPr>
        <w:t xml:space="preserve">   </w:t>
      </w:r>
      <w:r>
        <w:rPr>
          <w:rFonts w:hint="eastAsia" w:ascii="宋体" w:hAnsi="宋体" w:eastAsia="宋体" w:cs="宋体"/>
          <w:sz w:val="24"/>
          <w:szCs w:val="24"/>
        </w:rPr>
        <w:t>小時內回應到場，</w:t>
      </w:r>
      <w:r>
        <w:rPr>
          <w:rFonts w:hint="eastAsia" w:ascii="宋体" w:hAnsi="宋体" w:eastAsia="宋体" w:cs="宋体"/>
          <w:sz w:val="24"/>
          <w:szCs w:val="24"/>
          <w:u w:val="single"/>
        </w:rPr>
        <w:t xml:space="preserve">    </w:t>
      </w:r>
      <w:r>
        <w:rPr>
          <w:rFonts w:hint="eastAsia" w:ascii="宋体" w:hAnsi="宋体" w:eastAsia="宋体" w:cs="宋体"/>
          <w:sz w:val="24"/>
          <w:szCs w:val="24"/>
        </w:rPr>
        <w:t>小時內完成維修或更換，並承擔修理調換的費用；如貨物經乙方</w:t>
      </w:r>
      <w:r>
        <w:rPr>
          <w:rFonts w:hint="eastAsia" w:ascii="宋体" w:hAnsi="宋体" w:eastAsia="宋体" w:cs="宋体"/>
          <w:sz w:val="24"/>
          <w:szCs w:val="24"/>
          <w:u w:val="single"/>
        </w:rPr>
        <w:t xml:space="preserve">   </w:t>
      </w:r>
      <w:r>
        <w:rPr>
          <w:rFonts w:hint="eastAsia" w:ascii="宋体" w:hAnsi="宋体" w:eastAsia="宋体" w:cs="宋体"/>
          <w:sz w:val="24"/>
          <w:szCs w:val="24"/>
        </w:rPr>
        <w:t>次維修仍不能達到本合同約定的品質標準，視作乙方未能按時交貨，甲方有權退貨並追究乙方的違約責任。貨到現場後由於甲方保管不當造成的問題，乙方亦應負責修復，但費用由甲方負擔。</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、乙方須指派專人負責與甲方聯繫售後服務事宜。</w:t>
      </w:r>
      <w:r>
        <w:rPr>
          <w:rFonts w:ascii="宋体" w:hAnsi="宋体" w:eastAsia="宋体" w:cs="宋体"/>
          <w:sz w:val="24"/>
          <w:szCs w:val="24"/>
        </w:rPr>
        <w:t> </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5" w:name="_Toc217446113"/>
      <w:bookmarkStart w:id="16" w:name="_Toc308164858"/>
      <w:r>
        <w:rPr>
          <w:rFonts w:hint="eastAsia" w:ascii="黑体" w:hAnsi="黑体" w:eastAsia="宋体" w:cs="黑体"/>
          <w:sz w:val="28"/>
          <w:szCs w:val="28"/>
        </w:rPr>
        <w:t>七、違約責任</w:t>
      </w:r>
      <w:bookmarkEnd w:id="15"/>
      <w:bookmarkEnd w:id="16"/>
    </w:p>
    <w:p>
      <w:pPr>
        <w:spacing w:line="400" w:lineRule="exact"/>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、甲方違約責任</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1</w:t>
      </w:r>
      <w:r>
        <w:rPr>
          <w:rFonts w:hint="eastAsia" w:ascii="宋体" w:hAnsi="宋体" w:eastAsia="宋体" w:cs="宋体"/>
          <w:sz w:val="24"/>
          <w:szCs w:val="24"/>
        </w:rPr>
        <w:t>）</w:t>
      </w:r>
      <w:r>
        <w:rPr>
          <w:rFonts w:ascii="宋体" w:hAnsi="宋体" w:eastAsia="宋体" w:cs="宋体"/>
          <w:sz w:val="24"/>
          <w:szCs w:val="24"/>
        </w:rPr>
        <w:t xml:space="preserve"> </w:t>
      </w:r>
      <w:r>
        <w:rPr>
          <w:rFonts w:hint="eastAsia" w:ascii="宋体" w:hAnsi="宋体" w:eastAsia="宋体" w:cs="宋体"/>
          <w:sz w:val="24"/>
          <w:szCs w:val="24"/>
        </w:rPr>
        <w:t>甲方無正當理由拒收貨物的，甲方應償付合同總價百分之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的違約金；</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2</w:t>
      </w:r>
      <w:r>
        <w:rPr>
          <w:rFonts w:hint="eastAsia" w:ascii="宋体" w:hAnsi="宋体" w:eastAsia="宋体" w:cs="宋体"/>
          <w:sz w:val="24"/>
          <w:szCs w:val="24"/>
        </w:rPr>
        <w:t>）</w:t>
      </w:r>
      <w:r>
        <w:rPr>
          <w:rFonts w:ascii="宋体" w:hAnsi="宋体" w:eastAsia="宋体" w:cs="宋体"/>
          <w:sz w:val="24"/>
          <w:szCs w:val="24"/>
        </w:rPr>
        <w:t xml:space="preserve"> </w:t>
      </w:r>
      <w:r>
        <w:rPr>
          <w:rFonts w:hint="eastAsia" w:ascii="宋体" w:hAnsi="宋体" w:eastAsia="宋体" w:cs="宋体"/>
          <w:sz w:val="24"/>
          <w:szCs w:val="24"/>
        </w:rPr>
        <w:t>甲方逾期支付貨款的，除應及時付足貨款外，</w:t>
      </w:r>
      <w:r>
        <w:rPr>
          <w:rFonts w:ascii="宋体" w:hAnsi="宋体" w:eastAsia="宋体" w:cs="宋体"/>
          <w:sz w:val="24"/>
          <w:szCs w:val="24"/>
        </w:rPr>
        <w:t>應向乙方償付欠款總額萬分之</w:t>
      </w:r>
      <w:r>
        <w:rPr>
          <w:rFonts w:hint="eastAsia" w:ascii="宋体" w:hAnsi="宋体" w:eastAsia="宋体" w:cs="宋体"/>
          <w:sz w:val="24"/>
          <w:szCs w:val="24"/>
          <w:u w:val="single"/>
        </w:rPr>
        <w:t xml:space="preserve">  </w:t>
      </w:r>
      <w:r>
        <w:rPr>
          <w:rFonts w:ascii="宋体" w:hAnsi="宋体" w:eastAsia="宋体" w:cs="宋体"/>
          <w:sz w:val="24"/>
          <w:szCs w:val="24"/>
        </w:rPr>
        <w:t xml:space="preserve"> /天</w:t>
      </w:r>
      <w:r>
        <w:rPr>
          <w:rFonts w:hint="eastAsia" w:ascii="宋体" w:hAnsi="宋体" w:eastAsia="宋体" w:cs="宋体"/>
          <w:sz w:val="24"/>
          <w:szCs w:val="24"/>
        </w:rPr>
        <w:t>的違約金；逾期付款超過</w:t>
      </w:r>
      <w:r>
        <w:rPr>
          <w:rFonts w:hint="eastAsia" w:ascii="宋体" w:hAnsi="宋体" w:eastAsia="宋体" w:cs="宋体"/>
          <w:sz w:val="24"/>
          <w:szCs w:val="24"/>
          <w:u w:val="single"/>
        </w:rPr>
        <w:t xml:space="preserve">  </w:t>
      </w:r>
      <w:r>
        <w:rPr>
          <w:rFonts w:hint="eastAsia" w:ascii="宋体" w:hAnsi="宋体" w:eastAsia="宋体" w:cs="宋体"/>
          <w:sz w:val="24"/>
          <w:szCs w:val="24"/>
        </w:rPr>
        <w:t>天的，乙方有權終止合同；</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3</w:t>
      </w:r>
      <w:r>
        <w:rPr>
          <w:rFonts w:hint="eastAsia" w:ascii="宋体" w:hAnsi="宋体" w:eastAsia="宋体" w:cs="宋体"/>
          <w:sz w:val="24"/>
          <w:szCs w:val="24"/>
        </w:rPr>
        <w:t>）</w:t>
      </w:r>
      <w:r>
        <w:rPr>
          <w:rFonts w:ascii="宋体" w:hAnsi="宋体" w:eastAsia="宋体" w:cs="宋体"/>
          <w:sz w:val="24"/>
          <w:szCs w:val="24"/>
        </w:rPr>
        <w:t xml:space="preserve"> </w:t>
      </w:r>
      <w:r>
        <w:rPr>
          <w:rFonts w:hint="eastAsia" w:ascii="宋体" w:hAnsi="宋体" w:eastAsia="宋体" w:cs="宋体"/>
          <w:sz w:val="24"/>
          <w:szCs w:val="24"/>
        </w:rPr>
        <w:t>甲方償付的違約金不足以彌補乙方損失的，還應按乙方損失尚未彌補的部分，支付賠償金給乙方。</w:t>
      </w:r>
    </w:p>
    <w:p>
      <w:pPr>
        <w:spacing w:line="400" w:lineRule="exact"/>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、乙方違約責任</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1</w:t>
      </w:r>
      <w:r>
        <w:rPr>
          <w:rFonts w:hint="eastAsia" w:ascii="宋体" w:hAnsi="宋体" w:eastAsia="宋体" w:cs="宋体"/>
          <w:sz w:val="24"/>
          <w:szCs w:val="24"/>
        </w:rPr>
        <w:t>）乙方交付的貨物品質不符合合同規定的，乙方應向甲方支付合同總價的百分之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的違約金，並須在合同規定的交貨時間內更換合格的貨物給甲方，否則，視作乙方不能交付貨物而違約，按本條本款下述第“（2）”項規定由乙方償付違約賠償金給甲方。</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2</w:t>
      </w:r>
      <w:r>
        <w:rPr>
          <w:rFonts w:hint="eastAsia" w:ascii="宋体" w:hAnsi="宋体" w:eastAsia="宋体" w:cs="宋体"/>
          <w:sz w:val="24"/>
          <w:szCs w:val="24"/>
        </w:rPr>
        <w:t>）乙方不能交付貨物或逾期交付貨物而違約的，除應及時交足貨物外，</w:t>
      </w:r>
      <w:r>
        <w:rPr>
          <w:rFonts w:ascii="宋体" w:hAnsi="宋体" w:eastAsia="宋体" w:cs="宋体"/>
          <w:sz w:val="24"/>
          <w:szCs w:val="24"/>
        </w:rPr>
        <w:t>應向甲方償付逾期交貨部分貨款總額的萬分之</w:t>
      </w:r>
      <w:r>
        <w:rPr>
          <w:rFonts w:hint="eastAsia" w:ascii="宋体" w:hAnsi="宋体" w:eastAsia="宋体" w:cs="宋体"/>
          <w:sz w:val="24"/>
          <w:szCs w:val="24"/>
          <w:u w:val="single"/>
        </w:rPr>
        <w:t xml:space="preserve">  </w:t>
      </w:r>
      <w:r>
        <w:rPr>
          <w:rFonts w:ascii="宋体" w:hAnsi="宋体" w:eastAsia="宋体" w:cs="宋体"/>
          <w:sz w:val="24"/>
          <w:szCs w:val="24"/>
        </w:rPr>
        <w:t xml:space="preserve"> /天</w:t>
      </w:r>
      <w:r>
        <w:rPr>
          <w:rFonts w:hint="eastAsia" w:ascii="宋体" w:hAnsi="宋体" w:eastAsia="宋体" w:cs="宋体"/>
          <w:sz w:val="24"/>
          <w:szCs w:val="24"/>
        </w:rPr>
        <w:t>的違約金；逾期交貨超過</w:t>
      </w:r>
      <w:r>
        <w:rPr>
          <w:rFonts w:hint="eastAsia" w:ascii="宋体" w:hAnsi="宋体" w:eastAsia="宋体" w:cs="宋体"/>
          <w:sz w:val="24"/>
          <w:szCs w:val="24"/>
          <w:u w:val="single"/>
        </w:rPr>
        <w:t xml:space="preserve">  </w:t>
      </w:r>
      <w:r>
        <w:rPr>
          <w:rFonts w:hint="eastAsia" w:ascii="宋体" w:hAnsi="宋体" w:eastAsia="宋体" w:cs="宋体"/>
          <w:sz w:val="24"/>
          <w:szCs w:val="24"/>
        </w:rPr>
        <w:t>天，甲方有權終止合同，乙方則應按合同總價的百分之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的款額向甲方償付賠償金，並須全額退還甲方已經付給乙方的貨款及其利息。</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3</w:t>
      </w:r>
      <w:r>
        <w:rPr>
          <w:rFonts w:hint="eastAsia" w:ascii="宋体" w:hAnsi="宋体" w:eastAsia="宋体" w:cs="宋体"/>
          <w:sz w:val="24"/>
          <w:szCs w:val="24"/>
        </w:rPr>
        <w:t>）乙方貨物經甲方送交具有法定資格條件的品質技術監督機構檢測後，如檢測結果認定貨物品質不符合本合同規定標準的，則視為乙方沒有按時交貨而違約，乙方須在</w:t>
      </w:r>
      <w:r>
        <w:rPr>
          <w:rFonts w:hint="eastAsia" w:ascii="宋体" w:hAnsi="宋体" w:eastAsia="宋体" w:cs="宋体"/>
          <w:sz w:val="24"/>
          <w:szCs w:val="24"/>
          <w:u w:val="single"/>
        </w:rPr>
        <w:t xml:space="preserve">   </w:t>
      </w:r>
      <w:r>
        <w:rPr>
          <w:rFonts w:hint="eastAsia" w:ascii="宋体" w:hAnsi="宋体" w:eastAsia="宋体" w:cs="宋体"/>
          <w:sz w:val="24"/>
          <w:szCs w:val="24"/>
        </w:rPr>
        <w:t>天內無條件更換合格的貨物，如逾期不能更換合格的貨物，甲方有權終止本合同，乙方應另付合同總價的百分之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的賠償金給甲方。</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4）乙方保證本合同貨物的權利無瑕疵，包括貨物所有權及知識產權等權利無瑕疵。如任何第三方經法院（或仲裁機構）裁決有權對上述貨物主張權利或國家機關依法對貨物進行沒收查處的，乙方除應向甲方返還已收款項外，還應另按合同總價的百分之</w:t>
      </w:r>
      <w:r>
        <w:rPr>
          <w:rFonts w:hint="eastAsia" w:ascii="宋体" w:hAnsi="宋体" w:eastAsia="宋体" w:cs="宋体"/>
          <w:sz w:val="24"/>
          <w:szCs w:val="24"/>
          <w:u w:val="single"/>
        </w:rPr>
        <w:t xml:space="preserve">   </w:t>
      </w:r>
      <w:r>
        <w:rPr>
          <w:rFonts w:hint="eastAsia" w:ascii="宋体" w:hAnsi="宋体" w:eastAsia="宋体" w:cs="宋体"/>
          <w:sz w:val="24"/>
          <w:szCs w:val="24"/>
        </w:rPr>
        <w:t>向甲方支付違約金並賠償因此給甲方造成的一切損失。</w:t>
      </w:r>
    </w:p>
    <w:p>
      <w:pPr>
        <w:spacing w:line="400" w:lineRule="exact"/>
        <w:ind w:firstLine="480" w:firstLineChars="200"/>
        <w:rPr>
          <w:rFonts w:ascii="宋体" w:hAnsi="宋体" w:cs="宋体"/>
          <w:sz w:val="24"/>
          <w:szCs w:val="24"/>
        </w:rPr>
      </w:pPr>
      <w:r>
        <w:rPr>
          <w:rFonts w:hint="eastAsia" w:ascii="宋体" w:hAnsi="宋体" w:eastAsia="宋体" w:cs="宋体"/>
          <w:sz w:val="24"/>
          <w:szCs w:val="24"/>
        </w:rPr>
        <w:t>（</w:t>
      </w:r>
      <w:r>
        <w:rPr>
          <w:rFonts w:ascii="宋体" w:hAnsi="宋体" w:eastAsia="宋体" w:cs="宋体"/>
          <w:sz w:val="24"/>
          <w:szCs w:val="24"/>
        </w:rPr>
        <w:t>5</w:t>
      </w:r>
      <w:r>
        <w:rPr>
          <w:rFonts w:hint="eastAsia" w:ascii="宋体" w:hAnsi="宋体" w:eastAsia="宋体" w:cs="宋体"/>
          <w:sz w:val="24"/>
          <w:szCs w:val="24"/>
        </w:rPr>
        <w:t>）乙方償付的違約金不足以彌補甲方損失的，還應按甲方損失尚未彌補的部分，支付賠償金給甲方。</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7" w:name="_Toc217446114"/>
      <w:bookmarkStart w:id="18" w:name="_Toc308164859"/>
      <w:r>
        <w:rPr>
          <w:rFonts w:hint="eastAsia" w:ascii="黑体" w:hAnsi="黑体" w:eastAsia="宋体" w:cs="黑体"/>
          <w:sz w:val="28"/>
          <w:szCs w:val="28"/>
        </w:rPr>
        <w:t>八、爭議解決辦法</w:t>
      </w:r>
      <w:bookmarkEnd w:id="17"/>
      <w:bookmarkEnd w:id="18"/>
    </w:p>
    <w:p>
      <w:pPr>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、因貨物的品質問題發生爭議，由品質技術監督部門或其指定的品質鑒定機構進行品質鑒定。貨物符合標準的，鑒定費由甲方承擔；貨物不符合品質標準的，鑒定費由乙方承擔。</w:t>
      </w:r>
    </w:p>
    <w:p>
      <w:pPr>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、合同履行期間</w:t>
      </w:r>
      <w:r>
        <w:rPr>
          <w:rFonts w:ascii="宋体" w:hAnsi="宋体" w:eastAsia="宋体" w:cs="宋体"/>
          <w:sz w:val="24"/>
          <w:szCs w:val="24"/>
        </w:rPr>
        <w:t>,</w:t>
      </w:r>
      <w:r>
        <w:rPr>
          <w:rFonts w:hint="eastAsia" w:ascii="宋体" w:hAnsi="宋体" w:eastAsia="宋体" w:cs="宋体"/>
          <w:sz w:val="24"/>
          <w:szCs w:val="24"/>
        </w:rPr>
        <w:t>若雙方發生爭議，可協商或由有關部門調解解決，協商或調解不成的，由當事人依法維護其合法權益。</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sz w:val="28"/>
          <w:szCs w:val="28"/>
        </w:rPr>
      </w:pPr>
      <w:bookmarkStart w:id="19" w:name="_Toc308164860"/>
      <w:r>
        <w:rPr>
          <w:rFonts w:hint="eastAsia" w:ascii="黑体" w:hAnsi="黑体" w:eastAsia="宋体" w:cs="黑体"/>
          <w:sz w:val="28"/>
          <w:szCs w:val="28"/>
        </w:rPr>
        <w:t>九、其他</w:t>
      </w:r>
      <w:bookmarkEnd w:id="2"/>
      <w:bookmarkEnd w:id="19"/>
    </w:p>
    <w:p>
      <w:pPr>
        <w:ind w:firstLine="480" w:firstLineChars="200"/>
        <w:rPr>
          <w:rFonts w:ascii="宋体" w:hAnsi="宋体" w:cs="宋体"/>
          <w:sz w:val="24"/>
          <w:szCs w:val="24"/>
        </w:rPr>
      </w:pPr>
      <w:r>
        <w:rPr>
          <w:rFonts w:ascii="宋体" w:hAnsi="宋体" w:eastAsia="宋体" w:cs="宋体"/>
          <w:sz w:val="24"/>
          <w:szCs w:val="24"/>
        </w:rPr>
        <w:t>1</w:t>
      </w:r>
      <w:r>
        <w:rPr>
          <w:rFonts w:hint="eastAsia" w:ascii="宋体" w:hAnsi="宋体" w:eastAsia="宋体" w:cs="宋体"/>
          <w:sz w:val="24"/>
          <w:szCs w:val="24"/>
        </w:rPr>
        <w:t>、如有未盡事宜，由雙方依法訂立補充合同。</w:t>
      </w:r>
    </w:p>
    <w:p>
      <w:pPr>
        <w:ind w:firstLine="480" w:firstLineChars="200"/>
        <w:rPr>
          <w:rFonts w:ascii="宋体" w:hAnsi="宋体" w:cs="宋体"/>
          <w:sz w:val="24"/>
          <w:szCs w:val="24"/>
        </w:rPr>
      </w:pPr>
      <w:r>
        <w:rPr>
          <w:rFonts w:ascii="宋体" w:hAnsi="宋体" w:eastAsia="宋体" w:cs="宋体"/>
          <w:sz w:val="24"/>
          <w:szCs w:val="24"/>
        </w:rPr>
        <w:t>2</w:t>
      </w:r>
      <w:r>
        <w:rPr>
          <w:rFonts w:hint="eastAsia" w:ascii="宋体" w:hAnsi="宋体" w:eastAsia="宋体" w:cs="宋体"/>
          <w:sz w:val="24"/>
          <w:szCs w:val="24"/>
        </w:rPr>
        <w:t>、本合同雙方應加蓋騎縫章。</w:t>
      </w:r>
    </w:p>
    <w:p>
      <w:pPr>
        <w:ind w:firstLine="480" w:firstLineChars="200"/>
        <w:rPr>
          <w:rFonts w:ascii="宋体" w:hAnsi="宋体" w:cs="宋体"/>
          <w:sz w:val="24"/>
          <w:szCs w:val="24"/>
        </w:rPr>
      </w:pPr>
      <w:r>
        <w:rPr>
          <w:rFonts w:hint="eastAsia" w:ascii="宋体" w:hAnsi="宋体" w:eastAsia="宋体" w:cs="宋体"/>
          <w:sz w:val="24"/>
          <w:szCs w:val="24"/>
        </w:rPr>
        <w:t>3、本合同一式四份，自雙方簽章並經省政府採購中心審核編號後生效。甲方、乙方、政府採購管理部門、</w:t>
      </w:r>
      <w:r>
        <w:rPr>
          <w:rFonts w:hint="eastAsia" w:ascii="宋体" w:hAnsi="宋体" w:eastAsia="宋体" w:cs="宋体"/>
          <w:sz w:val="24"/>
          <w:szCs w:val="24"/>
          <w:u w:val="single"/>
        </w:rPr>
        <w:t xml:space="preserve">      </w:t>
      </w:r>
      <w:r>
        <w:rPr>
          <w:rFonts w:hint="eastAsia" w:ascii="宋体" w:hAnsi="宋体" w:eastAsia="宋体" w:cs="宋体"/>
          <w:sz w:val="24"/>
          <w:szCs w:val="24"/>
        </w:rPr>
        <w:t>省政府採購中心各一份。</w:t>
      </w:r>
    </w:p>
    <w:p>
      <w:pPr>
        <w:ind w:left="0" w:leftChars="0" w:firstLine="0" w:firstLineChars="0"/>
        <w:rPr>
          <w:rFonts w:ascii="宋体" w:hAnsi="宋体"/>
          <w:sz w:val="24"/>
          <w:szCs w:val="24"/>
        </w:rPr>
      </w:pPr>
    </w:p>
    <w:p>
      <w:pPr>
        <w:ind w:firstLine="480" w:firstLineChars="200"/>
        <w:rPr>
          <w:rFonts w:ascii="宋体" w:hAnsi="宋体"/>
          <w:sz w:val="24"/>
          <w:szCs w:val="24"/>
        </w:rPr>
      </w:pPr>
      <w:r>
        <w:rPr>
          <w:rFonts w:hint="eastAsia" w:ascii="宋体" w:hAnsi="宋体" w:eastAsia="宋体"/>
          <w:sz w:val="24"/>
          <w:szCs w:val="24"/>
        </w:rPr>
        <w:t>甲方：   （蓋章）</w:t>
      </w:r>
      <w:r>
        <w:rPr>
          <w:rFonts w:ascii="宋体" w:hAnsi="宋体" w:eastAsia="宋体"/>
          <w:sz w:val="24"/>
          <w:szCs w:val="24"/>
        </w:rPr>
        <w:t xml:space="preserve">   </w:t>
      </w:r>
      <w:r>
        <w:rPr>
          <w:rFonts w:ascii="宋体" w:hAnsi="宋体"/>
          <w:sz w:val="24"/>
          <w:szCs w:val="24"/>
        </w:rPr>
        <w:tab/>
      </w:r>
      <w:r>
        <w:rPr>
          <w:rFonts w:ascii="宋体" w:hAnsi="宋体"/>
          <w:sz w:val="24"/>
          <w:szCs w:val="24"/>
        </w:rPr>
        <w:tab/>
      </w:r>
      <w:r>
        <w:rPr>
          <w:rFonts w:ascii="宋体" w:hAnsi="宋体"/>
          <w:sz w:val="24"/>
          <w:szCs w:val="24"/>
        </w:rPr>
        <w:tab/>
      </w:r>
      <w:r>
        <w:rPr>
          <w:rFonts w:ascii="宋体" w:hAnsi="宋体" w:eastAsia="宋体"/>
          <w:sz w:val="24"/>
          <w:szCs w:val="24"/>
        </w:rPr>
        <w:t xml:space="preserve">    </w:t>
      </w:r>
      <w:r>
        <w:rPr>
          <w:rFonts w:hint="eastAsia" w:ascii="宋体" w:hAnsi="宋体" w:eastAsia="宋体"/>
          <w:sz w:val="24"/>
          <w:szCs w:val="24"/>
        </w:rPr>
        <w:t xml:space="preserve">   乙方：</w:t>
      </w:r>
      <w:r>
        <w:rPr>
          <w:rFonts w:ascii="宋体" w:hAnsi="宋体" w:eastAsia="宋体"/>
          <w:sz w:val="24"/>
          <w:szCs w:val="24"/>
        </w:rPr>
        <w:t xml:space="preserve">   </w:t>
      </w:r>
      <w:r>
        <w:rPr>
          <w:rFonts w:hint="eastAsia" w:ascii="宋体" w:hAnsi="宋体" w:eastAsia="宋体"/>
          <w:sz w:val="24"/>
          <w:szCs w:val="24"/>
        </w:rPr>
        <w:t>（蓋章）</w:t>
      </w:r>
    </w:p>
    <w:p>
      <w:pPr>
        <w:ind w:firstLine="480" w:firstLineChars="200"/>
        <w:rPr>
          <w:rFonts w:ascii="宋体" w:hAnsi="宋体"/>
          <w:sz w:val="24"/>
          <w:szCs w:val="24"/>
        </w:rPr>
      </w:pPr>
      <w:r>
        <w:rPr>
          <w:rFonts w:hint="eastAsia" w:ascii="宋体" w:hAnsi="宋体" w:eastAsia="宋体"/>
          <w:sz w:val="24"/>
          <w:szCs w:val="24"/>
        </w:rPr>
        <w:t>法定代表人（授權代表）：</w:t>
      </w:r>
      <w:r>
        <w:rPr>
          <w:rFonts w:ascii="宋体" w:hAnsi="宋体" w:eastAsia="宋体"/>
          <w:sz w:val="24"/>
          <w:szCs w:val="24"/>
        </w:rPr>
        <w:t xml:space="preserve">            </w:t>
      </w:r>
      <w:r>
        <w:rPr>
          <w:rFonts w:hint="eastAsia" w:ascii="宋体" w:hAnsi="宋体" w:eastAsia="宋体"/>
          <w:sz w:val="24"/>
          <w:szCs w:val="24"/>
        </w:rPr>
        <w:t>法定代表人（授權代表）：</w:t>
      </w:r>
    </w:p>
    <w:p>
      <w:pPr>
        <w:ind w:firstLine="480" w:firstLineChars="200"/>
        <w:rPr>
          <w:rFonts w:ascii="宋体" w:hAnsi="宋体"/>
          <w:sz w:val="24"/>
          <w:szCs w:val="24"/>
        </w:rPr>
      </w:pPr>
      <w:r>
        <w:rPr>
          <w:rFonts w:hint="eastAsia" w:ascii="宋体" w:hAnsi="宋体" w:eastAsia="宋体"/>
          <w:sz w:val="24"/>
          <w:szCs w:val="24"/>
        </w:rPr>
        <w:t>地</w:t>
      </w:r>
      <w:r>
        <w:rPr>
          <w:rFonts w:ascii="宋体" w:hAnsi="宋体" w:eastAsia="宋体"/>
          <w:sz w:val="24"/>
          <w:szCs w:val="24"/>
        </w:rPr>
        <w:t xml:space="preserve">    </w:t>
      </w:r>
      <w:r>
        <w:rPr>
          <w:rFonts w:hint="eastAsia" w:ascii="宋体" w:hAnsi="宋体" w:eastAsia="宋体"/>
          <w:sz w:val="24"/>
          <w:szCs w:val="24"/>
        </w:rPr>
        <w:t>址：</w:t>
      </w:r>
      <w:r>
        <w:rPr>
          <w:rFonts w:ascii="宋体" w:hAnsi="宋体" w:eastAsia="宋体"/>
          <w:sz w:val="24"/>
          <w:szCs w:val="24"/>
        </w:rPr>
        <w:t xml:space="preserve">                         </w:t>
      </w:r>
      <w:r>
        <w:rPr>
          <w:rFonts w:hint="eastAsia" w:ascii="宋体" w:hAnsi="宋体" w:eastAsia="宋体"/>
          <w:sz w:val="24"/>
          <w:szCs w:val="24"/>
        </w:rPr>
        <w:t>地</w:t>
      </w:r>
      <w:r>
        <w:rPr>
          <w:rFonts w:ascii="宋体" w:hAnsi="宋体" w:eastAsia="宋体"/>
          <w:sz w:val="24"/>
          <w:szCs w:val="24"/>
        </w:rPr>
        <w:t xml:space="preserve">    </w:t>
      </w:r>
      <w:r>
        <w:rPr>
          <w:rFonts w:hint="eastAsia" w:ascii="宋体" w:hAnsi="宋体" w:eastAsia="宋体"/>
          <w:sz w:val="24"/>
          <w:szCs w:val="24"/>
        </w:rPr>
        <w:t>址：</w:t>
      </w:r>
    </w:p>
    <w:p>
      <w:pPr>
        <w:ind w:firstLine="480" w:firstLineChars="200"/>
        <w:rPr>
          <w:rFonts w:ascii="宋体" w:hAnsi="宋体"/>
          <w:sz w:val="24"/>
          <w:szCs w:val="24"/>
        </w:rPr>
      </w:pPr>
      <w:r>
        <w:rPr>
          <w:rFonts w:hint="eastAsia" w:ascii="宋体" w:hAnsi="宋体" w:eastAsia="宋体"/>
          <w:sz w:val="24"/>
          <w:szCs w:val="24"/>
        </w:rPr>
        <w:t>開戶銀行：</w:t>
      </w:r>
      <w:r>
        <w:rPr>
          <w:rFonts w:ascii="宋体" w:hAnsi="宋体" w:eastAsia="宋体"/>
          <w:sz w:val="24"/>
          <w:szCs w:val="24"/>
        </w:rPr>
        <w:t xml:space="preserve">                         </w:t>
      </w:r>
      <w:r>
        <w:rPr>
          <w:rFonts w:hint="eastAsia" w:ascii="宋体" w:hAnsi="宋体" w:eastAsia="宋体"/>
          <w:sz w:val="24"/>
          <w:szCs w:val="24"/>
        </w:rPr>
        <w:t>開戶銀行：</w:t>
      </w:r>
    </w:p>
    <w:p>
      <w:pPr>
        <w:ind w:firstLine="480" w:firstLineChars="200"/>
        <w:rPr>
          <w:rFonts w:ascii="宋体" w:hAnsi="宋体"/>
          <w:sz w:val="24"/>
          <w:szCs w:val="24"/>
        </w:rPr>
      </w:pPr>
      <w:r>
        <w:rPr>
          <w:rFonts w:hint="eastAsia" w:ascii="宋体" w:hAnsi="宋体" w:eastAsia="宋体"/>
          <w:sz w:val="24"/>
          <w:szCs w:val="24"/>
        </w:rPr>
        <w:t>帳號：</w:t>
      </w:r>
      <w:r>
        <w:rPr>
          <w:rFonts w:ascii="宋体" w:hAnsi="宋体" w:eastAsia="宋体"/>
          <w:sz w:val="24"/>
          <w:szCs w:val="24"/>
        </w:rPr>
        <w:t xml:space="preserve">                             </w:t>
      </w:r>
      <w:r>
        <w:rPr>
          <w:rFonts w:hint="eastAsia" w:ascii="宋体" w:hAnsi="宋体" w:eastAsia="宋体"/>
          <w:sz w:val="24"/>
          <w:szCs w:val="24"/>
        </w:rPr>
        <w:t>帳號：</w:t>
      </w:r>
    </w:p>
    <w:p>
      <w:pPr>
        <w:ind w:firstLine="480" w:firstLineChars="200"/>
        <w:rPr>
          <w:rFonts w:ascii="宋体" w:hAnsi="宋体"/>
          <w:sz w:val="24"/>
          <w:szCs w:val="24"/>
        </w:rPr>
      </w:pPr>
      <w:r>
        <w:rPr>
          <w:rFonts w:hint="eastAsia" w:ascii="宋体" w:hAnsi="宋体" w:eastAsia="宋体"/>
          <w:sz w:val="24"/>
          <w:szCs w:val="24"/>
        </w:rPr>
        <w:t>電</w:t>
      </w:r>
      <w:r>
        <w:rPr>
          <w:rFonts w:ascii="宋体" w:hAnsi="宋体" w:eastAsia="宋体"/>
          <w:sz w:val="24"/>
          <w:szCs w:val="24"/>
        </w:rPr>
        <w:t xml:space="preserve">    </w:t>
      </w:r>
      <w:r>
        <w:rPr>
          <w:rFonts w:hint="eastAsia" w:ascii="宋体" w:hAnsi="宋体" w:eastAsia="宋体"/>
          <w:sz w:val="24"/>
          <w:szCs w:val="24"/>
        </w:rPr>
        <w:t>話：</w:t>
      </w:r>
      <w:r>
        <w:rPr>
          <w:rFonts w:ascii="宋体" w:hAnsi="宋体" w:eastAsia="宋体"/>
          <w:sz w:val="24"/>
          <w:szCs w:val="24"/>
        </w:rPr>
        <w:t xml:space="preserve">                         </w:t>
      </w:r>
      <w:r>
        <w:rPr>
          <w:rFonts w:hint="eastAsia" w:ascii="宋体" w:hAnsi="宋体" w:eastAsia="宋体"/>
          <w:sz w:val="24"/>
          <w:szCs w:val="24"/>
        </w:rPr>
        <w:t>電</w:t>
      </w:r>
      <w:r>
        <w:rPr>
          <w:rFonts w:ascii="宋体" w:hAnsi="宋体" w:eastAsia="宋体"/>
          <w:sz w:val="24"/>
          <w:szCs w:val="24"/>
        </w:rPr>
        <w:t xml:space="preserve">    </w:t>
      </w:r>
      <w:r>
        <w:rPr>
          <w:rFonts w:hint="eastAsia" w:ascii="宋体" w:hAnsi="宋体" w:eastAsia="宋体"/>
          <w:sz w:val="24"/>
          <w:szCs w:val="24"/>
        </w:rPr>
        <w:t>話：</w:t>
      </w:r>
    </w:p>
    <w:p>
      <w:pPr>
        <w:ind w:firstLine="480" w:firstLineChars="200"/>
        <w:rPr>
          <w:rFonts w:ascii="宋体" w:hAnsi="宋体"/>
          <w:sz w:val="24"/>
          <w:szCs w:val="24"/>
        </w:rPr>
      </w:pPr>
      <w:r>
        <w:rPr>
          <w:rFonts w:hint="eastAsia" w:ascii="宋体" w:hAnsi="宋体" w:eastAsia="宋体"/>
          <w:sz w:val="24"/>
          <w:szCs w:val="24"/>
        </w:rPr>
        <w:t>傳</w:t>
      </w:r>
      <w:r>
        <w:rPr>
          <w:rFonts w:ascii="宋体" w:hAnsi="宋体" w:eastAsia="宋体"/>
          <w:sz w:val="24"/>
          <w:szCs w:val="24"/>
        </w:rPr>
        <w:t xml:space="preserve">    </w:t>
      </w:r>
      <w:r>
        <w:rPr>
          <w:rFonts w:hint="eastAsia" w:ascii="宋体" w:hAnsi="宋体" w:eastAsia="宋体"/>
          <w:sz w:val="24"/>
          <w:szCs w:val="24"/>
        </w:rPr>
        <w:t>真：</w:t>
      </w:r>
      <w:r>
        <w:rPr>
          <w:rFonts w:ascii="宋体" w:hAnsi="宋体" w:eastAsia="宋体"/>
          <w:sz w:val="24"/>
          <w:szCs w:val="24"/>
        </w:rPr>
        <w:t xml:space="preserve">                         </w:t>
      </w:r>
      <w:r>
        <w:rPr>
          <w:rFonts w:hint="eastAsia" w:ascii="宋体" w:hAnsi="宋体" w:eastAsia="宋体"/>
          <w:sz w:val="24"/>
          <w:szCs w:val="24"/>
        </w:rPr>
        <w:t>傳</w:t>
      </w:r>
      <w:r>
        <w:rPr>
          <w:rFonts w:ascii="宋体" w:hAnsi="宋体" w:eastAsia="宋体"/>
          <w:sz w:val="24"/>
          <w:szCs w:val="24"/>
        </w:rPr>
        <w:t xml:space="preserve">    </w:t>
      </w:r>
      <w:r>
        <w:rPr>
          <w:rFonts w:hint="eastAsia" w:ascii="宋体" w:hAnsi="宋体" w:eastAsia="宋体"/>
          <w:sz w:val="24"/>
          <w:szCs w:val="24"/>
        </w:rPr>
        <w:t>真：</w:t>
      </w:r>
    </w:p>
    <w:p>
      <w:pPr>
        <w:ind w:firstLine="480" w:firstLineChars="200"/>
        <w:rPr>
          <w:rFonts w:ascii="宋体" w:hAnsi="宋体"/>
          <w:sz w:val="24"/>
          <w:szCs w:val="24"/>
        </w:rPr>
      </w:pPr>
      <w:r>
        <w:rPr>
          <w:rFonts w:hint="eastAsia" w:eastAsia="宋体"/>
          <w:sz w:val="24"/>
          <w:szCs w:val="24"/>
        </w:rPr>
        <w:t>簽約日期：年   月   日</w:t>
      </w:r>
      <w:r>
        <w:rPr>
          <w:rFonts w:eastAsia="宋体"/>
          <w:sz w:val="24"/>
          <w:szCs w:val="24"/>
        </w:rPr>
        <w:t xml:space="preserve"> </w:t>
      </w:r>
      <w:r>
        <w:rPr>
          <w:sz w:val="24"/>
          <w:szCs w:val="24"/>
        </w:rPr>
        <w:tab/>
      </w:r>
      <w:r>
        <w:rPr>
          <w:sz w:val="24"/>
          <w:szCs w:val="24"/>
        </w:rPr>
        <w:tab/>
      </w:r>
      <w:r>
        <w:rPr>
          <w:sz w:val="24"/>
          <w:szCs w:val="24"/>
        </w:rPr>
        <w:tab/>
      </w:r>
      <w:r>
        <w:rPr>
          <w:rFonts w:hint="eastAsia" w:eastAsia="宋体"/>
          <w:sz w:val="24"/>
          <w:szCs w:val="24"/>
        </w:rPr>
        <w:t xml:space="preserve">    簽約日期：  年    月 </w:t>
      </w:r>
      <w:bookmarkEnd w:id="0"/>
    </w:p>
    <w:sectPr>
      <w:footerReference r:id="rId5" w:type="first"/>
      <w:headerReference r:id="rId3" w:type="default"/>
      <w:footerReference r:id="rId4" w:type="default"/>
      <w:pgSz w:w="11907" w:h="16840"/>
      <w:pgMar w:top="1418" w:right="1361" w:bottom="623" w:left="1361" w:header="851" w:footer="992" w:gutter="0"/>
      <w:cols w:space="720" w:num="1"/>
      <w:titlePg/>
      <w:docGrid w:type="linesAndChar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02FF" w:usb1="4000ACFF" w:usb2="00000001" w:usb3="00000000" w:csb0="2000019F" w:csb1="00000000"/>
  </w:font>
  <w:font w:name="Cambria">
    <w:panose1 w:val="02040503050406030204"/>
    <w:charset w:val="00"/>
    <w:family w:val="roman"/>
    <w:pitch w:val="default"/>
    <w:sig w:usb0="E00002FF" w:usb1="400004FF" w:usb2="00000000" w:usb3="00000000" w:csb0="2000019F" w:csb1="00000000"/>
  </w:font>
  <w:font w:name="微软雅黑">
    <w:panose1 w:val="020B0503020204020204"/>
    <w:charset w:val="86"/>
    <w:family w:val="auto"/>
    <w:pitch w:val="default"/>
    <w:sig w:usb0="80000287" w:usb1="280F3C52"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tabs>
        <w:tab w:val="center" w:pos="4153"/>
        <w:tab w:val="right" w:pos="8306"/>
      </w:tabs>
      <w:jc w:val="center"/>
    </w:pPr>
    <w:r>
      <w:fldChar w:fldCharType="begin"/>
    </w:r>
    <w:r>
      <w:instrText xml:space="preserve"> PAGE   \* MERGEFORMAT </w:instrText>
    </w:r>
    <w:r>
      <w:fldChar w:fldCharType="separate"/>
    </w:r>
    <w:r>
      <w:rPr>
        <w:lang w:val="zh-CN"/>
      </w:rPr>
      <w:t>36</w:t>
    </w:r>
    <w:r>
      <w:fldChar w:fldCharType="end"/>
    </w:r>
  </w:p>
  <w:p>
    <w:pPr>
      <w:tabs>
        <w:tab w:val="center" w:pos="4153"/>
        <w:tab w:val="right" w:pos="8306"/>
      </w:tabs>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tabs>
        <w:tab w:val="center" w:pos="4153"/>
        <w:tab w:val="right" w:pos="8306"/>
      </w:tabs>
      <w:jc w:val="center"/>
    </w:pPr>
    <w:r>
      <w:fldChar w:fldCharType="begin"/>
    </w:r>
    <w:r>
      <w:instrText xml:space="preserve"> PAGE   \* MERGEFORMAT </w:instrText>
    </w:r>
    <w:r>
      <w:fldChar w:fldCharType="separate"/>
    </w:r>
    <w:r>
      <w:rPr>
        <w:lang w:val="zh-CN"/>
      </w:rPr>
      <w:t>24</w:t>
    </w:r>
    <w:r>
      <w:fldChar w:fldCharType="end"/>
    </w:r>
  </w:p>
  <w:p>
    <w:pPr>
      <w:tabs>
        <w:tab w:val="center" w:pos="4153"/>
        <w:tab w:val="right" w:pos="8306"/>
      </w:tabs>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BF1C7F"/>
    <w:multiLevelType w:val="multilevel"/>
    <w:tmpl w:val="09BF1C7F"/>
    <w:lvl w:ilvl="0" w:tentative="0">
      <w:start w:val="1"/>
      <w:numFmt w:val="decimal"/>
      <w:lvlText w:val="%1."/>
      <w:lvlJc w:val="left"/>
      <w:pPr>
        <w:tabs>
          <w:tab w:val="left" w:pos="425"/>
        </w:tabs>
        <w:ind w:left="425" w:hanging="425"/>
      </w:pPr>
      <w:rPr>
        <w:rFonts w:hint="eastAsia"/>
      </w:rPr>
    </w:lvl>
    <w:lvl w:ilvl="1" w:tentative="0">
      <w:start w:val="1"/>
      <w:numFmt w:val="decimal"/>
      <w:lvlText w:val="4.%2."/>
      <w:lvlJc w:val="left"/>
      <w:pPr>
        <w:tabs>
          <w:tab w:val="left" w:pos="567"/>
        </w:tabs>
        <w:ind w:left="567" w:hanging="567"/>
      </w:pPr>
      <w:rPr>
        <w:rFonts w:hint="eastAsia"/>
      </w:rPr>
    </w:lvl>
    <w:lvl w:ilvl="2" w:tentative="0">
      <w:start w:val="1"/>
      <w:numFmt w:val="decimal"/>
      <w:lvlRestart w:val="0"/>
      <w:lvlText w:val="4.4.%3."/>
      <w:lvlJc w:val="left"/>
      <w:pPr>
        <w:tabs>
          <w:tab w:val="left" w:pos="709"/>
        </w:tabs>
        <w:ind w:left="709" w:hanging="709"/>
      </w:pPr>
      <w:rPr>
        <w:rFonts w:hint="eastAsia"/>
      </w:rPr>
    </w:lvl>
    <w:lvl w:ilvl="3" w:tentative="0">
      <w:start w:val="1"/>
      <w:numFmt w:val="decimal"/>
      <w:pStyle w:val="5"/>
      <w:lvlText w:val="2.1.1.%4"/>
      <w:lvlJc w:val="left"/>
      <w:pPr>
        <w:tabs>
          <w:tab w:val="left" w:pos="851"/>
        </w:tabs>
        <w:ind w:left="851" w:hanging="851"/>
      </w:pPr>
      <w:rPr>
        <w:rFonts w:hint="eastAsia"/>
      </w:rPr>
    </w:lvl>
    <w:lvl w:ilvl="4" w:tentative="0">
      <w:start w:val="1"/>
      <w:numFmt w:val="decimal"/>
      <w:lvlText w:val="%1.%2.%3.%4.%5."/>
      <w:lvlJc w:val="left"/>
      <w:pPr>
        <w:tabs>
          <w:tab w:val="left" w:pos="992"/>
        </w:tabs>
        <w:ind w:left="992" w:hanging="992"/>
      </w:pPr>
      <w:rPr>
        <w:rFonts w:hint="eastAsia"/>
      </w:rPr>
    </w:lvl>
    <w:lvl w:ilvl="5" w:tentative="0">
      <w:start w:val="1"/>
      <w:numFmt w:val="decimal"/>
      <w:lvlText w:val="%1.%2.%3.%4.%5.%6."/>
      <w:lvlJc w:val="left"/>
      <w:pPr>
        <w:tabs>
          <w:tab w:val="left" w:pos="1134"/>
        </w:tabs>
        <w:ind w:left="1134" w:hanging="1134"/>
      </w:pPr>
      <w:rPr>
        <w:rFonts w:hint="eastAsia"/>
      </w:rPr>
    </w:lvl>
    <w:lvl w:ilvl="6" w:tentative="0">
      <w:start w:val="1"/>
      <w:numFmt w:val="decimal"/>
      <w:lvlText w:val="%1.%2.%3.%4.%5.%6.%7."/>
      <w:lvlJc w:val="left"/>
      <w:pPr>
        <w:tabs>
          <w:tab w:val="left" w:pos="1276"/>
        </w:tabs>
        <w:ind w:left="1276" w:hanging="1276"/>
      </w:pPr>
      <w:rPr>
        <w:rFonts w:hint="eastAsia"/>
      </w:rPr>
    </w:lvl>
    <w:lvl w:ilvl="7" w:tentative="0">
      <w:start w:val="1"/>
      <w:numFmt w:val="decimal"/>
      <w:lvlText w:val="%1.%2.%3.%4.%5.%6.%7.%8."/>
      <w:lvlJc w:val="left"/>
      <w:pPr>
        <w:tabs>
          <w:tab w:val="left" w:pos="1418"/>
        </w:tabs>
        <w:ind w:left="1418" w:hanging="1418"/>
      </w:pPr>
      <w:rPr>
        <w:rFonts w:hint="eastAsia"/>
      </w:rPr>
    </w:lvl>
    <w:lvl w:ilvl="8" w:tentative="0">
      <w:start w:val="1"/>
      <w:numFmt w:val="decimal"/>
      <w:lvlText w:val="%1.%2.%3.%4.%5.%6.%7.%8.%9."/>
      <w:lvlJc w:val="left"/>
      <w:pPr>
        <w:tabs>
          <w:tab w:val="left" w:pos="1559"/>
        </w:tabs>
        <w:ind w:left="1559" w:hanging="1559"/>
      </w:pPr>
      <w:rPr>
        <w:rFonts w:hint="eastAsia"/>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HorizontalSpacing w:val="193"/>
  <w:drawingGridVerticalSpacing w:val="143"/>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0000E9F"/>
    <w:rsid w:val="00001658"/>
    <w:rsid w:val="00001975"/>
    <w:rsid w:val="0000332D"/>
    <w:rsid w:val="00007795"/>
    <w:rsid w:val="00011118"/>
    <w:rsid w:val="00017102"/>
    <w:rsid w:val="0002196D"/>
    <w:rsid w:val="00021ADE"/>
    <w:rsid w:val="0002213E"/>
    <w:rsid w:val="00024A7F"/>
    <w:rsid w:val="00037BA2"/>
    <w:rsid w:val="00037FBC"/>
    <w:rsid w:val="00044A83"/>
    <w:rsid w:val="000453FB"/>
    <w:rsid w:val="00047780"/>
    <w:rsid w:val="00047CA6"/>
    <w:rsid w:val="0005041A"/>
    <w:rsid w:val="000542C2"/>
    <w:rsid w:val="0007133B"/>
    <w:rsid w:val="00072177"/>
    <w:rsid w:val="000722C2"/>
    <w:rsid w:val="0007365B"/>
    <w:rsid w:val="00076FF7"/>
    <w:rsid w:val="00081423"/>
    <w:rsid w:val="00082848"/>
    <w:rsid w:val="0008408F"/>
    <w:rsid w:val="000848E5"/>
    <w:rsid w:val="00084E61"/>
    <w:rsid w:val="000872F4"/>
    <w:rsid w:val="00094EEC"/>
    <w:rsid w:val="000961B6"/>
    <w:rsid w:val="00097029"/>
    <w:rsid w:val="00097D3D"/>
    <w:rsid w:val="000A1911"/>
    <w:rsid w:val="000A42D6"/>
    <w:rsid w:val="000A4B1A"/>
    <w:rsid w:val="000A5726"/>
    <w:rsid w:val="000A6599"/>
    <w:rsid w:val="000B2F3D"/>
    <w:rsid w:val="000B4E20"/>
    <w:rsid w:val="000B5934"/>
    <w:rsid w:val="000C2CBC"/>
    <w:rsid w:val="000C784A"/>
    <w:rsid w:val="000D651C"/>
    <w:rsid w:val="000E0576"/>
    <w:rsid w:val="000E1986"/>
    <w:rsid w:val="000E1F73"/>
    <w:rsid w:val="000E2282"/>
    <w:rsid w:val="000E6086"/>
    <w:rsid w:val="000E6160"/>
    <w:rsid w:val="000E7CB1"/>
    <w:rsid w:val="000F7EA4"/>
    <w:rsid w:val="0010159C"/>
    <w:rsid w:val="0010447C"/>
    <w:rsid w:val="0011270B"/>
    <w:rsid w:val="001160D0"/>
    <w:rsid w:val="00116909"/>
    <w:rsid w:val="00117F9A"/>
    <w:rsid w:val="00125B30"/>
    <w:rsid w:val="00132DD9"/>
    <w:rsid w:val="00142E9B"/>
    <w:rsid w:val="00153E69"/>
    <w:rsid w:val="00156B9C"/>
    <w:rsid w:val="0015702B"/>
    <w:rsid w:val="00164177"/>
    <w:rsid w:val="00164B69"/>
    <w:rsid w:val="00165867"/>
    <w:rsid w:val="00167C1D"/>
    <w:rsid w:val="00167F94"/>
    <w:rsid w:val="00170776"/>
    <w:rsid w:val="00171512"/>
    <w:rsid w:val="0017345F"/>
    <w:rsid w:val="0017445C"/>
    <w:rsid w:val="0017504A"/>
    <w:rsid w:val="0017715E"/>
    <w:rsid w:val="00180DA9"/>
    <w:rsid w:val="00181070"/>
    <w:rsid w:val="00181850"/>
    <w:rsid w:val="00182D8B"/>
    <w:rsid w:val="0019417A"/>
    <w:rsid w:val="00194C5A"/>
    <w:rsid w:val="001951E0"/>
    <w:rsid w:val="001A5540"/>
    <w:rsid w:val="001A7BB8"/>
    <w:rsid w:val="001B0A1F"/>
    <w:rsid w:val="001B5AFE"/>
    <w:rsid w:val="001B637A"/>
    <w:rsid w:val="001B7026"/>
    <w:rsid w:val="001C03E6"/>
    <w:rsid w:val="001C560F"/>
    <w:rsid w:val="001D5CA3"/>
    <w:rsid w:val="001D6A28"/>
    <w:rsid w:val="001D726E"/>
    <w:rsid w:val="001E1290"/>
    <w:rsid w:val="001E636C"/>
    <w:rsid w:val="001F22CA"/>
    <w:rsid w:val="001F22F7"/>
    <w:rsid w:val="001F385C"/>
    <w:rsid w:val="001F689C"/>
    <w:rsid w:val="00202BF5"/>
    <w:rsid w:val="0020514B"/>
    <w:rsid w:val="00206327"/>
    <w:rsid w:val="00207B88"/>
    <w:rsid w:val="00212D65"/>
    <w:rsid w:val="00216A10"/>
    <w:rsid w:val="00225E22"/>
    <w:rsid w:val="00232D02"/>
    <w:rsid w:val="00233221"/>
    <w:rsid w:val="00241664"/>
    <w:rsid w:val="002418A0"/>
    <w:rsid w:val="002422B3"/>
    <w:rsid w:val="00243016"/>
    <w:rsid w:val="002475CB"/>
    <w:rsid w:val="0025056F"/>
    <w:rsid w:val="00251159"/>
    <w:rsid w:val="00255312"/>
    <w:rsid w:val="002567A1"/>
    <w:rsid w:val="00260032"/>
    <w:rsid w:val="00263417"/>
    <w:rsid w:val="00266F02"/>
    <w:rsid w:val="002711A0"/>
    <w:rsid w:val="0027146E"/>
    <w:rsid w:val="00272CE9"/>
    <w:rsid w:val="00274FD7"/>
    <w:rsid w:val="00275192"/>
    <w:rsid w:val="002759D2"/>
    <w:rsid w:val="0028295B"/>
    <w:rsid w:val="00283B61"/>
    <w:rsid w:val="0029340E"/>
    <w:rsid w:val="002937B4"/>
    <w:rsid w:val="002978E9"/>
    <w:rsid w:val="002A214A"/>
    <w:rsid w:val="002A24C1"/>
    <w:rsid w:val="002A5540"/>
    <w:rsid w:val="002B4455"/>
    <w:rsid w:val="002B4FA9"/>
    <w:rsid w:val="002B526A"/>
    <w:rsid w:val="002C1882"/>
    <w:rsid w:val="002C3979"/>
    <w:rsid w:val="002C49A9"/>
    <w:rsid w:val="002C5394"/>
    <w:rsid w:val="002C624B"/>
    <w:rsid w:val="002D7C5D"/>
    <w:rsid w:val="002E3255"/>
    <w:rsid w:val="002E759C"/>
    <w:rsid w:val="00301F3F"/>
    <w:rsid w:val="00303B88"/>
    <w:rsid w:val="0030533C"/>
    <w:rsid w:val="003057BF"/>
    <w:rsid w:val="00314312"/>
    <w:rsid w:val="003175E4"/>
    <w:rsid w:val="00321A99"/>
    <w:rsid w:val="00321B94"/>
    <w:rsid w:val="00321FF4"/>
    <w:rsid w:val="003236EE"/>
    <w:rsid w:val="0033155A"/>
    <w:rsid w:val="003323E7"/>
    <w:rsid w:val="00332FDC"/>
    <w:rsid w:val="00333393"/>
    <w:rsid w:val="00333C2F"/>
    <w:rsid w:val="00341E18"/>
    <w:rsid w:val="00342158"/>
    <w:rsid w:val="00342A60"/>
    <w:rsid w:val="00345F52"/>
    <w:rsid w:val="003461D8"/>
    <w:rsid w:val="00356ACE"/>
    <w:rsid w:val="003610F1"/>
    <w:rsid w:val="003641D4"/>
    <w:rsid w:val="00377B91"/>
    <w:rsid w:val="00377F02"/>
    <w:rsid w:val="00381A7D"/>
    <w:rsid w:val="00383061"/>
    <w:rsid w:val="003838E8"/>
    <w:rsid w:val="00384B42"/>
    <w:rsid w:val="00386005"/>
    <w:rsid w:val="003935F1"/>
    <w:rsid w:val="00394292"/>
    <w:rsid w:val="003943C5"/>
    <w:rsid w:val="00397CE3"/>
    <w:rsid w:val="003A38FF"/>
    <w:rsid w:val="003A4997"/>
    <w:rsid w:val="003A7EBF"/>
    <w:rsid w:val="003C4B29"/>
    <w:rsid w:val="003C7F4D"/>
    <w:rsid w:val="003D6EBC"/>
    <w:rsid w:val="003E461C"/>
    <w:rsid w:val="003E60D1"/>
    <w:rsid w:val="003F17C6"/>
    <w:rsid w:val="003F6013"/>
    <w:rsid w:val="00403A23"/>
    <w:rsid w:val="00412CA2"/>
    <w:rsid w:val="00424E21"/>
    <w:rsid w:val="00425389"/>
    <w:rsid w:val="00431038"/>
    <w:rsid w:val="00431CBF"/>
    <w:rsid w:val="0043200F"/>
    <w:rsid w:val="0043542F"/>
    <w:rsid w:val="00440E31"/>
    <w:rsid w:val="004450B1"/>
    <w:rsid w:val="00447D7A"/>
    <w:rsid w:val="00454307"/>
    <w:rsid w:val="0045722B"/>
    <w:rsid w:val="00461F22"/>
    <w:rsid w:val="00463DE3"/>
    <w:rsid w:val="00464CC4"/>
    <w:rsid w:val="00466E9D"/>
    <w:rsid w:val="00467057"/>
    <w:rsid w:val="00471A6B"/>
    <w:rsid w:val="00473186"/>
    <w:rsid w:val="00476E09"/>
    <w:rsid w:val="00484765"/>
    <w:rsid w:val="0048518F"/>
    <w:rsid w:val="00496A36"/>
    <w:rsid w:val="004A1F88"/>
    <w:rsid w:val="004A6ED0"/>
    <w:rsid w:val="004B46F4"/>
    <w:rsid w:val="004B58FC"/>
    <w:rsid w:val="004C2768"/>
    <w:rsid w:val="004C43AD"/>
    <w:rsid w:val="004C5E19"/>
    <w:rsid w:val="004D0B16"/>
    <w:rsid w:val="004D5389"/>
    <w:rsid w:val="004D7928"/>
    <w:rsid w:val="004E123D"/>
    <w:rsid w:val="004E3360"/>
    <w:rsid w:val="004F06AB"/>
    <w:rsid w:val="004F342B"/>
    <w:rsid w:val="004F57EC"/>
    <w:rsid w:val="004F5D23"/>
    <w:rsid w:val="004F602D"/>
    <w:rsid w:val="004F7CC4"/>
    <w:rsid w:val="00500159"/>
    <w:rsid w:val="00511507"/>
    <w:rsid w:val="00513984"/>
    <w:rsid w:val="00517CAA"/>
    <w:rsid w:val="005313C1"/>
    <w:rsid w:val="00532E63"/>
    <w:rsid w:val="00533080"/>
    <w:rsid w:val="00536520"/>
    <w:rsid w:val="00540A6C"/>
    <w:rsid w:val="005422C3"/>
    <w:rsid w:val="00543B2C"/>
    <w:rsid w:val="00546D1D"/>
    <w:rsid w:val="00551E2A"/>
    <w:rsid w:val="005521C4"/>
    <w:rsid w:val="00562AEA"/>
    <w:rsid w:val="0056530A"/>
    <w:rsid w:val="005667F4"/>
    <w:rsid w:val="00576162"/>
    <w:rsid w:val="005924C8"/>
    <w:rsid w:val="005931E5"/>
    <w:rsid w:val="00596E9A"/>
    <w:rsid w:val="005A0393"/>
    <w:rsid w:val="005A77DE"/>
    <w:rsid w:val="005B13EA"/>
    <w:rsid w:val="005B1B30"/>
    <w:rsid w:val="005B4923"/>
    <w:rsid w:val="005B6BE9"/>
    <w:rsid w:val="005C4905"/>
    <w:rsid w:val="005C7BA1"/>
    <w:rsid w:val="005D4931"/>
    <w:rsid w:val="005D746C"/>
    <w:rsid w:val="005E156D"/>
    <w:rsid w:val="005E2804"/>
    <w:rsid w:val="005E2B04"/>
    <w:rsid w:val="005E2E4E"/>
    <w:rsid w:val="005E5C36"/>
    <w:rsid w:val="005E74DC"/>
    <w:rsid w:val="005F1663"/>
    <w:rsid w:val="005F50DB"/>
    <w:rsid w:val="005F7477"/>
    <w:rsid w:val="0060468D"/>
    <w:rsid w:val="00607F1B"/>
    <w:rsid w:val="00617E0A"/>
    <w:rsid w:val="0062434E"/>
    <w:rsid w:val="0062683C"/>
    <w:rsid w:val="00627049"/>
    <w:rsid w:val="006272DE"/>
    <w:rsid w:val="00635566"/>
    <w:rsid w:val="00637AE3"/>
    <w:rsid w:val="0064163F"/>
    <w:rsid w:val="00642B95"/>
    <w:rsid w:val="00643F50"/>
    <w:rsid w:val="00644D2D"/>
    <w:rsid w:val="00645667"/>
    <w:rsid w:val="006521B1"/>
    <w:rsid w:val="00653DAA"/>
    <w:rsid w:val="00654209"/>
    <w:rsid w:val="00654C01"/>
    <w:rsid w:val="006613B0"/>
    <w:rsid w:val="00664629"/>
    <w:rsid w:val="006651B0"/>
    <w:rsid w:val="00671536"/>
    <w:rsid w:val="00672056"/>
    <w:rsid w:val="00676A75"/>
    <w:rsid w:val="00683105"/>
    <w:rsid w:val="00684F3C"/>
    <w:rsid w:val="0068620B"/>
    <w:rsid w:val="006916AD"/>
    <w:rsid w:val="00693737"/>
    <w:rsid w:val="00694467"/>
    <w:rsid w:val="0069566D"/>
    <w:rsid w:val="00696C2F"/>
    <w:rsid w:val="006A010C"/>
    <w:rsid w:val="006A6BA8"/>
    <w:rsid w:val="006B57DD"/>
    <w:rsid w:val="006C3591"/>
    <w:rsid w:val="006C3B7D"/>
    <w:rsid w:val="006C6EFB"/>
    <w:rsid w:val="006D2163"/>
    <w:rsid w:val="006D4707"/>
    <w:rsid w:val="006E1960"/>
    <w:rsid w:val="006E1F04"/>
    <w:rsid w:val="006E2A51"/>
    <w:rsid w:val="006E3704"/>
    <w:rsid w:val="006E3C88"/>
    <w:rsid w:val="006E7772"/>
    <w:rsid w:val="006F2F38"/>
    <w:rsid w:val="006F3884"/>
    <w:rsid w:val="006F452C"/>
    <w:rsid w:val="006F67CF"/>
    <w:rsid w:val="006F6D6C"/>
    <w:rsid w:val="00704CAA"/>
    <w:rsid w:val="007066C5"/>
    <w:rsid w:val="00707F2B"/>
    <w:rsid w:val="007157EB"/>
    <w:rsid w:val="0071612F"/>
    <w:rsid w:val="0072095F"/>
    <w:rsid w:val="00721B1A"/>
    <w:rsid w:val="00721DB0"/>
    <w:rsid w:val="00725581"/>
    <w:rsid w:val="007360DA"/>
    <w:rsid w:val="00742139"/>
    <w:rsid w:val="00744C41"/>
    <w:rsid w:val="007510AF"/>
    <w:rsid w:val="00754E88"/>
    <w:rsid w:val="007659AD"/>
    <w:rsid w:val="00765A4C"/>
    <w:rsid w:val="00766888"/>
    <w:rsid w:val="00766AC5"/>
    <w:rsid w:val="00770283"/>
    <w:rsid w:val="0077542C"/>
    <w:rsid w:val="0077602F"/>
    <w:rsid w:val="00776AB9"/>
    <w:rsid w:val="00776B71"/>
    <w:rsid w:val="00777300"/>
    <w:rsid w:val="00780033"/>
    <w:rsid w:val="007811FB"/>
    <w:rsid w:val="0078266A"/>
    <w:rsid w:val="007827BA"/>
    <w:rsid w:val="0078375F"/>
    <w:rsid w:val="00790C5D"/>
    <w:rsid w:val="00794D6D"/>
    <w:rsid w:val="00796A23"/>
    <w:rsid w:val="007B14D6"/>
    <w:rsid w:val="007B2FD6"/>
    <w:rsid w:val="007B3A28"/>
    <w:rsid w:val="007B6908"/>
    <w:rsid w:val="007B7C52"/>
    <w:rsid w:val="007C00D9"/>
    <w:rsid w:val="007C1D6D"/>
    <w:rsid w:val="007D1C27"/>
    <w:rsid w:val="007D36FE"/>
    <w:rsid w:val="007D71E0"/>
    <w:rsid w:val="007E2472"/>
    <w:rsid w:val="007E38EF"/>
    <w:rsid w:val="007F14D7"/>
    <w:rsid w:val="007F1FBF"/>
    <w:rsid w:val="007F2781"/>
    <w:rsid w:val="007F2B97"/>
    <w:rsid w:val="007F5487"/>
    <w:rsid w:val="007F7763"/>
    <w:rsid w:val="00807AAD"/>
    <w:rsid w:val="00813071"/>
    <w:rsid w:val="00815924"/>
    <w:rsid w:val="008163E4"/>
    <w:rsid w:val="008262F9"/>
    <w:rsid w:val="0083051B"/>
    <w:rsid w:val="008327A3"/>
    <w:rsid w:val="00832AAA"/>
    <w:rsid w:val="00832E8A"/>
    <w:rsid w:val="008330BD"/>
    <w:rsid w:val="00837661"/>
    <w:rsid w:val="00842816"/>
    <w:rsid w:val="00851A9D"/>
    <w:rsid w:val="008529C0"/>
    <w:rsid w:val="00852FF8"/>
    <w:rsid w:val="00857EA3"/>
    <w:rsid w:val="00862E69"/>
    <w:rsid w:val="008662A5"/>
    <w:rsid w:val="00866815"/>
    <w:rsid w:val="00866E9B"/>
    <w:rsid w:val="008749B3"/>
    <w:rsid w:val="00876C75"/>
    <w:rsid w:val="008777C7"/>
    <w:rsid w:val="008801B6"/>
    <w:rsid w:val="00881557"/>
    <w:rsid w:val="00883018"/>
    <w:rsid w:val="0088414D"/>
    <w:rsid w:val="00890F4D"/>
    <w:rsid w:val="00891B8A"/>
    <w:rsid w:val="008926CB"/>
    <w:rsid w:val="0089448F"/>
    <w:rsid w:val="00896A21"/>
    <w:rsid w:val="008A42BE"/>
    <w:rsid w:val="008A4F37"/>
    <w:rsid w:val="008B1F60"/>
    <w:rsid w:val="008B30DA"/>
    <w:rsid w:val="008B3A49"/>
    <w:rsid w:val="008B6185"/>
    <w:rsid w:val="008C0494"/>
    <w:rsid w:val="008C6371"/>
    <w:rsid w:val="008D0D72"/>
    <w:rsid w:val="008D13E0"/>
    <w:rsid w:val="008D3C73"/>
    <w:rsid w:val="008E1B13"/>
    <w:rsid w:val="008E1CCC"/>
    <w:rsid w:val="008E20D6"/>
    <w:rsid w:val="008E25A7"/>
    <w:rsid w:val="008E697D"/>
    <w:rsid w:val="008F1DDA"/>
    <w:rsid w:val="008F39F7"/>
    <w:rsid w:val="008F40C3"/>
    <w:rsid w:val="008F546F"/>
    <w:rsid w:val="008F636E"/>
    <w:rsid w:val="008F648E"/>
    <w:rsid w:val="00902EA4"/>
    <w:rsid w:val="0090483E"/>
    <w:rsid w:val="00904B9A"/>
    <w:rsid w:val="00906624"/>
    <w:rsid w:val="00913493"/>
    <w:rsid w:val="009150F8"/>
    <w:rsid w:val="00915820"/>
    <w:rsid w:val="009161F3"/>
    <w:rsid w:val="009178F0"/>
    <w:rsid w:val="009225C4"/>
    <w:rsid w:val="00923888"/>
    <w:rsid w:val="009320A2"/>
    <w:rsid w:val="009322E4"/>
    <w:rsid w:val="00936D78"/>
    <w:rsid w:val="00942433"/>
    <w:rsid w:val="00945DF0"/>
    <w:rsid w:val="0094641B"/>
    <w:rsid w:val="00946FEB"/>
    <w:rsid w:val="0094718E"/>
    <w:rsid w:val="00951ADE"/>
    <w:rsid w:val="009663FD"/>
    <w:rsid w:val="00966B1D"/>
    <w:rsid w:val="009676EA"/>
    <w:rsid w:val="00970D61"/>
    <w:rsid w:val="00971508"/>
    <w:rsid w:val="00976CF0"/>
    <w:rsid w:val="00983533"/>
    <w:rsid w:val="00983541"/>
    <w:rsid w:val="0098470A"/>
    <w:rsid w:val="00991447"/>
    <w:rsid w:val="00994067"/>
    <w:rsid w:val="009964E8"/>
    <w:rsid w:val="009A23B9"/>
    <w:rsid w:val="009C1763"/>
    <w:rsid w:val="009C1BF6"/>
    <w:rsid w:val="009C255D"/>
    <w:rsid w:val="009C2CB5"/>
    <w:rsid w:val="009C50FF"/>
    <w:rsid w:val="009D0FB3"/>
    <w:rsid w:val="009D39C8"/>
    <w:rsid w:val="009D6E40"/>
    <w:rsid w:val="009D73C2"/>
    <w:rsid w:val="009E1335"/>
    <w:rsid w:val="009E27DE"/>
    <w:rsid w:val="009E2A44"/>
    <w:rsid w:val="009E68DB"/>
    <w:rsid w:val="009E7EBE"/>
    <w:rsid w:val="009F6137"/>
    <w:rsid w:val="009F7DC9"/>
    <w:rsid w:val="009F7F8B"/>
    <w:rsid w:val="00A10D1E"/>
    <w:rsid w:val="00A215E6"/>
    <w:rsid w:val="00A2562E"/>
    <w:rsid w:val="00A25BB3"/>
    <w:rsid w:val="00A34FC1"/>
    <w:rsid w:val="00A36D6F"/>
    <w:rsid w:val="00A41CDA"/>
    <w:rsid w:val="00A4464A"/>
    <w:rsid w:val="00A456EE"/>
    <w:rsid w:val="00A45889"/>
    <w:rsid w:val="00A45DA4"/>
    <w:rsid w:val="00A516D4"/>
    <w:rsid w:val="00A524A9"/>
    <w:rsid w:val="00A54151"/>
    <w:rsid w:val="00A57E83"/>
    <w:rsid w:val="00A626FC"/>
    <w:rsid w:val="00A6376B"/>
    <w:rsid w:val="00A70695"/>
    <w:rsid w:val="00A70985"/>
    <w:rsid w:val="00A70AB9"/>
    <w:rsid w:val="00A716C1"/>
    <w:rsid w:val="00A71CC1"/>
    <w:rsid w:val="00A839FE"/>
    <w:rsid w:val="00A840C6"/>
    <w:rsid w:val="00A85D4F"/>
    <w:rsid w:val="00A8686F"/>
    <w:rsid w:val="00A909A3"/>
    <w:rsid w:val="00A93F6B"/>
    <w:rsid w:val="00A94D4D"/>
    <w:rsid w:val="00AA1E8D"/>
    <w:rsid w:val="00AA3012"/>
    <w:rsid w:val="00AB24CA"/>
    <w:rsid w:val="00AB3451"/>
    <w:rsid w:val="00AB47D6"/>
    <w:rsid w:val="00AD0BDA"/>
    <w:rsid w:val="00AD43E4"/>
    <w:rsid w:val="00AE2665"/>
    <w:rsid w:val="00AE381C"/>
    <w:rsid w:val="00AF3659"/>
    <w:rsid w:val="00AF4F55"/>
    <w:rsid w:val="00AF58E0"/>
    <w:rsid w:val="00AF65EF"/>
    <w:rsid w:val="00B0757D"/>
    <w:rsid w:val="00B075D0"/>
    <w:rsid w:val="00B079EF"/>
    <w:rsid w:val="00B11435"/>
    <w:rsid w:val="00B13A56"/>
    <w:rsid w:val="00B158BA"/>
    <w:rsid w:val="00B15C5A"/>
    <w:rsid w:val="00B15E56"/>
    <w:rsid w:val="00B210D0"/>
    <w:rsid w:val="00B22A00"/>
    <w:rsid w:val="00B32805"/>
    <w:rsid w:val="00B34FC3"/>
    <w:rsid w:val="00B3500E"/>
    <w:rsid w:val="00B404AF"/>
    <w:rsid w:val="00B41350"/>
    <w:rsid w:val="00B43CE1"/>
    <w:rsid w:val="00B46211"/>
    <w:rsid w:val="00B47DDF"/>
    <w:rsid w:val="00B515EF"/>
    <w:rsid w:val="00B5326C"/>
    <w:rsid w:val="00B544E0"/>
    <w:rsid w:val="00B5606F"/>
    <w:rsid w:val="00B602FD"/>
    <w:rsid w:val="00B83430"/>
    <w:rsid w:val="00B8371C"/>
    <w:rsid w:val="00B84718"/>
    <w:rsid w:val="00B8505F"/>
    <w:rsid w:val="00B85799"/>
    <w:rsid w:val="00B86D65"/>
    <w:rsid w:val="00B92596"/>
    <w:rsid w:val="00B92A12"/>
    <w:rsid w:val="00B93386"/>
    <w:rsid w:val="00B94E4F"/>
    <w:rsid w:val="00B95C8C"/>
    <w:rsid w:val="00BA1E63"/>
    <w:rsid w:val="00BA2815"/>
    <w:rsid w:val="00BA5D53"/>
    <w:rsid w:val="00BA6FA6"/>
    <w:rsid w:val="00BB067D"/>
    <w:rsid w:val="00BB4363"/>
    <w:rsid w:val="00BB6B9F"/>
    <w:rsid w:val="00BC4E83"/>
    <w:rsid w:val="00BC5901"/>
    <w:rsid w:val="00BC7690"/>
    <w:rsid w:val="00BD0999"/>
    <w:rsid w:val="00BD0C62"/>
    <w:rsid w:val="00BD10B4"/>
    <w:rsid w:val="00BD2434"/>
    <w:rsid w:val="00BD5D88"/>
    <w:rsid w:val="00BD763C"/>
    <w:rsid w:val="00BE0BF7"/>
    <w:rsid w:val="00BE2099"/>
    <w:rsid w:val="00BE5DF0"/>
    <w:rsid w:val="00BF00B4"/>
    <w:rsid w:val="00BF121C"/>
    <w:rsid w:val="00BF5F7B"/>
    <w:rsid w:val="00C0084E"/>
    <w:rsid w:val="00C016D7"/>
    <w:rsid w:val="00C10D4A"/>
    <w:rsid w:val="00C12A9B"/>
    <w:rsid w:val="00C13E1D"/>
    <w:rsid w:val="00C17FAE"/>
    <w:rsid w:val="00C26AC2"/>
    <w:rsid w:val="00C3060B"/>
    <w:rsid w:val="00C30C69"/>
    <w:rsid w:val="00C451B0"/>
    <w:rsid w:val="00C528CD"/>
    <w:rsid w:val="00C53F71"/>
    <w:rsid w:val="00C609C9"/>
    <w:rsid w:val="00C60F13"/>
    <w:rsid w:val="00C61C87"/>
    <w:rsid w:val="00C6434D"/>
    <w:rsid w:val="00C67B6C"/>
    <w:rsid w:val="00C70DC4"/>
    <w:rsid w:val="00C80FAD"/>
    <w:rsid w:val="00C86D4B"/>
    <w:rsid w:val="00C9688A"/>
    <w:rsid w:val="00C969DD"/>
    <w:rsid w:val="00CA083B"/>
    <w:rsid w:val="00CA288A"/>
    <w:rsid w:val="00CA6B98"/>
    <w:rsid w:val="00CB2838"/>
    <w:rsid w:val="00CB4B2E"/>
    <w:rsid w:val="00CB52D5"/>
    <w:rsid w:val="00CC0E06"/>
    <w:rsid w:val="00CC10F7"/>
    <w:rsid w:val="00CC50F5"/>
    <w:rsid w:val="00CC6AE2"/>
    <w:rsid w:val="00CD33CF"/>
    <w:rsid w:val="00CD72A8"/>
    <w:rsid w:val="00CE065F"/>
    <w:rsid w:val="00CE0955"/>
    <w:rsid w:val="00CE1414"/>
    <w:rsid w:val="00CE3D89"/>
    <w:rsid w:val="00CE7A70"/>
    <w:rsid w:val="00CE7CA3"/>
    <w:rsid w:val="00CF046C"/>
    <w:rsid w:val="00CF16F6"/>
    <w:rsid w:val="00CF33DB"/>
    <w:rsid w:val="00D01CF4"/>
    <w:rsid w:val="00D03DC7"/>
    <w:rsid w:val="00D103CC"/>
    <w:rsid w:val="00D13E03"/>
    <w:rsid w:val="00D169EA"/>
    <w:rsid w:val="00D17254"/>
    <w:rsid w:val="00D17E5B"/>
    <w:rsid w:val="00D3710D"/>
    <w:rsid w:val="00D459AF"/>
    <w:rsid w:val="00D50B68"/>
    <w:rsid w:val="00D61903"/>
    <w:rsid w:val="00D64766"/>
    <w:rsid w:val="00D666DE"/>
    <w:rsid w:val="00D676EA"/>
    <w:rsid w:val="00D71DA3"/>
    <w:rsid w:val="00D72EA5"/>
    <w:rsid w:val="00D730CF"/>
    <w:rsid w:val="00D73471"/>
    <w:rsid w:val="00D7455B"/>
    <w:rsid w:val="00D74C0C"/>
    <w:rsid w:val="00D758F9"/>
    <w:rsid w:val="00D800F1"/>
    <w:rsid w:val="00D83329"/>
    <w:rsid w:val="00D8351F"/>
    <w:rsid w:val="00D9208A"/>
    <w:rsid w:val="00D94231"/>
    <w:rsid w:val="00DA1C9E"/>
    <w:rsid w:val="00DA1E1B"/>
    <w:rsid w:val="00DA7467"/>
    <w:rsid w:val="00DB0266"/>
    <w:rsid w:val="00DB3077"/>
    <w:rsid w:val="00DC0257"/>
    <w:rsid w:val="00DC0C1B"/>
    <w:rsid w:val="00DC171C"/>
    <w:rsid w:val="00DC1AAB"/>
    <w:rsid w:val="00DC2EAD"/>
    <w:rsid w:val="00DC46EB"/>
    <w:rsid w:val="00DD2FF4"/>
    <w:rsid w:val="00DD3256"/>
    <w:rsid w:val="00DD7317"/>
    <w:rsid w:val="00DE06C6"/>
    <w:rsid w:val="00DE08BE"/>
    <w:rsid w:val="00DE117F"/>
    <w:rsid w:val="00DE2091"/>
    <w:rsid w:val="00DF1884"/>
    <w:rsid w:val="00DF19E0"/>
    <w:rsid w:val="00DF218C"/>
    <w:rsid w:val="00DF3196"/>
    <w:rsid w:val="00DF3E22"/>
    <w:rsid w:val="00DF6B73"/>
    <w:rsid w:val="00E11EB3"/>
    <w:rsid w:val="00E1601C"/>
    <w:rsid w:val="00E17FB5"/>
    <w:rsid w:val="00E2137A"/>
    <w:rsid w:val="00E22756"/>
    <w:rsid w:val="00E25B22"/>
    <w:rsid w:val="00E310C3"/>
    <w:rsid w:val="00E31125"/>
    <w:rsid w:val="00E4405D"/>
    <w:rsid w:val="00E47973"/>
    <w:rsid w:val="00E51B4A"/>
    <w:rsid w:val="00E54F8B"/>
    <w:rsid w:val="00E55152"/>
    <w:rsid w:val="00E55FC9"/>
    <w:rsid w:val="00E602ED"/>
    <w:rsid w:val="00E61A68"/>
    <w:rsid w:val="00E6254F"/>
    <w:rsid w:val="00E76BF3"/>
    <w:rsid w:val="00E823A6"/>
    <w:rsid w:val="00E83EDB"/>
    <w:rsid w:val="00E93A2E"/>
    <w:rsid w:val="00E940FA"/>
    <w:rsid w:val="00EA1013"/>
    <w:rsid w:val="00EA1CB3"/>
    <w:rsid w:val="00EA2C58"/>
    <w:rsid w:val="00EA4FCC"/>
    <w:rsid w:val="00EA52FE"/>
    <w:rsid w:val="00EA720F"/>
    <w:rsid w:val="00EB35A9"/>
    <w:rsid w:val="00EB37D2"/>
    <w:rsid w:val="00EB4BD8"/>
    <w:rsid w:val="00EB78D7"/>
    <w:rsid w:val="00EC0688"/>
    <w:rsid w:val="00EC4326"/>
    <w:rsid w:val="00EC4C5A"/>
    <w:rsid w:val="00ED13B1"/>
    <w:rsid w:val="00ED3812"/>
    <w:rsid w:val="00ED5DC6"/>
    <w:rsid w:val="00EF27FC"/>
    <w:rsid w:val="00EF648E"/>
    <w:rsid w:val="00F069FE"/>
    <w:rsid w:val="00F10378"/>
    <w:rsid w:val="00F11813"/>
    <w:rsid w:val="00F1195A"/>
    <w:rsid w:val="00F11CD2"/>
    <w:rsid w:val="00F1689A"/>
    <w:rsid w:val="00F2019F"/>
    <w:rsid w:val="00F23183"/>
    <w:rsid w:val="00F26CAF"/>
    <w:rsid w:val="00F2709D"/>
    <w:rsid w:val="00F311E7"/>
    <w:rsid w:val="00F35B2D"/>
    <w:rsid w:val="00F35EBD"/>
    <w:rsid w:val="00F37A8B"/>
    <w:rsid w:val="00F5099A"/>
    <w:rsid w:val="00F52223"/>
    <w:rsid w:val="00F56FFD"/>
    <w:rsid w:val="00F57726"/>
    <w:rsid w:val="00F60990"/>
    <w:rsid w:val="00F647B8"/>
    <w:rsid w:val="00F64F5D"/>
    <w:rsid w:val="00F72BF5"/>
    <w:rsid w:val="00F80DDC"/>
    <w:rsid w:val="00F82D2F"/>
    <w:rsid w:val="00F90B62"/>
    <w:rsid w:val="00F90EDE"/>
    <w:rsid w:val="00F95736"/>
    <w:rsid w:val="00FA068A"/>
    <w:rsid w:val="00FA12ED"/>
    <w:rsid w:val="00FA31C7"/>
    <w:rsid w:val="00FA592F"/>
    <w:rsid w:val="00FA7407"/>
    <w:rsid w:val="00FB219F"/>
    <w:rsid w:val="00FB3F96"/>
    <w:rsid w:val="00FB6791"/>
    <w:rsid w:val="00FC0B34"/>
    <w:rsid w:val="00FC232B"/>
    <w:rsid w:val="00FC418F"/>
    <w:rsid w:val="00FC5E9C"/>
    <w:rsid w:val="00FD0A27"/>
    <w:rsid w:val="00FD0DC2"/>
    <w:rsid w:val="00FD481C"/>
    <w:rsid w:val="00FF0DD5"/>
    <w:rsid w:val="00FF4F42"/>
    <w:rsid w:val="00FF68A6"/>
    <w:rsid w:val="13293988"/>
    <w:rsid w:val="16BF452D"/>
    <w:rsid w:val="1AEF2EDC"/>
    <w:rsid w:val="27D663A4"/>
    <w:rsid w:val="40084627"/>
    <w:rsid w:val="441922DC"/>
    <w:rsid w:val="4EBA4D61"/>
    <w:rsid w:val="517A50CC"/>
    <w:rsid w:val="58874242"/>
    <w:rsid w:val="5A0A374B"/>
    <w:rsid w:val="5D5C3100"/>
    <w:rsid w:val="632E02E6"/>
    <w:rsid w:val="6E841990"/>
    <w:rsid w:val="6EEF002A"/>
    <w:rsid w:val="70831A4D"/>
    <w:rsid w:val="709B6320"/>
    <w:rsid w:val="78B31404"/>
  </w:rsids>
  <m:mathPr>
    <m:brkBin m:val="before"/>
    <m:brkBinSub m:val="--"/>
    <m:smallFrac m:val="0"/>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nhideWhenUsed="0" w:uiPriority="9" w:semiHidden="0" w:name="heading 3"/>
    <w:lsdException w:qFormat="1" w:unhideWhenUsed="0" w:uiPriority="0" w:semiHidden="0" w:name="heading 4"/>
    <w:lsdException w:qFormat="1" w:unhideWhenUsed="0" w:uiPriority="0" w:semiHidden="0" w:name="heading 5"/>
    <w:lsdException w:qFormat="1" w:unhideWhenUsed="0" w:uiPriority="0" w:semiHidden="0" w:name="heading 6"/>
    <w:lsdException w:qFormat="1" w:unhideWhenUsed="0" w:uiPriority="0" w:semiHidden="0" w:name="heading 7"/>
    <w:lsdException w:qFormat="1" w:unhideWhenUsed="0" w:uiPriority="0" w:semiHidden="0" w:name="heading 8"/>
    <w:lsdException w:qFormat="1" w:unhideWhenUsed="0" w:uiPriority="0" w:semiHidden="0"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nhideWhenUsed="0" w:uiPriority="0" w:semiHidden="0" w:name="toc 1"/>
    <w:lsdException w:unhideWhenUsed="0" w:uiPriority="0" w:semiHidden="0" w:name="toc 2"/>
    <w:lsdException w:unhideWhenUsed="0" w:uiPriority="0" w:semiHidden="0" w:name="toc 3"/>
    <w:lsdException w:uiPriority="0" w:name="toc 4"/>
    <w:lsdException w:uiPriority="0" w:name="toc 5"/>
    <w:lsdException w:uiPriority="0" w:name="toc 6"/>
    <w:lsdException w:uiPriority="0" w:name="toc 7"/>
    <w:lsdException w:uiPriority="0" w:name="toc 8"/>
    <w:lsdException w:uiPriority="0" w:name="toc 9"/>
    <w:lsdException w:unhideWhenUsed="0" w:uiPriority="0" w:semiHidden="0" w:name="Normal Indent"/>
    <w:lsdException w:uiPriority="99" w:name="footnote text"/>
    <w:lsdException w:unhideWhenUsed="0" w:uiPriority="0" w:semiHidden="0" w:name="annotation text"/>
    <w:lsdException w:unhideWhenUsed="0" w:uiPriority="0" w:semiHidden="0" w:name="header"/>
    <w:lsdException w:unhideWhenUsed="0" w:uiPriority="0" w:semiHidden="0" w:name="footer"/>
    <w:lsdException w:uiPriority="99" w:name="index heading"/>
    <w:lsdException w:qFormat="1" w:uiPriority="0" w:name="caption"/>
    <w:lsdException w:uiPriority="99" w:name="table of figures"/>
    <w:lsdException w:uiPriority="99" w:name="envelope address"/>
    <w:lsdException w:uiPriority="99" w:name="envelope return"/>
    <w:lsdException w:uiPriority="99" w:name="footnote reference"/>
    <w:lsdException w:uiPriority="0" w:name="annotation reference"/>
    <w:lsdException w:uiPriority="99" w:name="line number"/>
    <w:lsdException w:unhideWhenUsed="0" w:uiPriority="0" w:semiHidden="0"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nhideWhenUsed="0" w:uiPriority="0" w:semiHidden="0"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nhideWhenUsed="0" w:uiPriority="0" w:semiHidden="0" w:name="Default Paragraph Font"/>
    <w:lsdException w:unhideWhenUsed="0" w:uiPriority="0" w:semiHidden="0" w:name="Body Text"/>
    <w:lsdException w:unhideWhenUsed="0" w:uiPriority="0" w:semiHidden="0"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nhideWhenUsed="0" w:uiPriority="0" w:semiHidden="0" w:name="Salutation"/>
    <w:lsdException w:unhideWhenUsed="0" w:uiPriority="0" w:semiHidden="0" w:name="Date"/>
    <w:lsdException w:unhideWhenUsed="0" w:uiPriority="0" w:semiHidden="0" w:name="Body Text First Indent"/>
    <w:lsdException w:uiPriority="99" w:name="Body Text First Indent 2"/>
    <w:lsdException w:uiPriority="99"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iPriority="99" w:name="E-mail Signature"/>
    <w:lsdException w:unhideWhenUsed="0" w:uiPriority="0" w:semiHidden="0"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nhideWhenUsed="0" w:uiPriority="0" w:semiHidden="0" w:name="HTML Preformatted"/>
    <w:lsdException w:uiPriority="99" w:name="HTML Sample"/>
    <w:lsdException w:unhideWhenUsed="0" w:uiPriority="0" w:semiHidden="0" w:name="HTML Typewriter"/>
    <w:lsdException w:uiPriority="99" w:name="HTML Variable"/>
    <w:lsdException w:qFormat="1" w:uiPriority="99" w:semiHidden="0" w:name="Normal Table"/>
    <w:lsdException w:unhideWhenUsed="0" w:uiPriority="0" w:semiHidden="0"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nhideWhenUsed="0" w:uiPriority="0" w:semiHidden="0" w:name="Balloon Text"/>
    <w:lsdException w:unhideWhenUsed="0" w:uiPriority="0"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spacing w:line="360" w:lineRule="auto"/>
      <w:ind w:firstLine="880" w:firstLineChars="200"/>
      <w:jc w:val="both"/>
    </w:pPr>
    <w:rPr>
      <w:rFonts w:ascii="Times New Roman" w:hAnsi="Times New Roman" w:eastAsia="宋体" w:cs="Times New Roman"/>
      <w:kern w:val="2"/>
      <w:sz w:val="24"/>
      <w:lang w:val="en-US" w:eastAsia="zh-CN" w:bidi="ar-SA"/>
    </w:rPr>
  </w:style>
  <w:style w:type="paragraph" w:styleId="2">
    <w:name w:val="heading 1"/>
    <w:basedOn w:val="1"/>
    <w:next w:val="1"/>
    <w:link w:val="21"/>
    <w:qFormat/>
    <w:uiPriority w:val="9"/>
    <w:pPr>
      <w:keepNext/>
      <w:keepLines/>
      <w:spacing w:before="340" w:after="330" w:line="578" w:lineRule="auto"/>
      <w:outlineLvl w:val="0"/>
    </w:pPr>
    <w:rPr>
      <w:b/>
      <w:bCs/>
      <w:kern w:val="44"/>
      <w:sz w:val="44"/>
      <w:szCs w:val="44"/>
    </w:rPr>
  </w:style>
  <w:style w:type="paragraph" w:styleId="3">
    <w:name w:val="heading 2"/>
    <w:basedOn w:val="1"/>
    <w:next w:val="1"/>
    <w:link w:val="22"/>
    <w:qFormat/>
    <w:uiPriority w:val="9"/>
    <w:pPr>
      <w:keepNext/>
      <w:keepLines/>
      <w:spacing w:before="260" w:after="260" w:line="416" w:lineRule="auto"/>
      <w:outlineLvl w:val="1"/>
    </w:pPr>
    <w:rPr>
      <w:rFonts w:ascii="Cambria" w:hAnsi="Cambria"/>
      <w:b/>
      <w:bCs/>
      <w:sz w:val="32"/>
      <w:szCs w:val="32"/>
    </w:rPr>
  </w:style>
  <w:style w:type="paragraph" w:styleId="4">
    <w:name w:val="heading 3"/>
    <w:basedOn w:val="1"/>
    <w:next w:val="1"/>
    <w:link w:val="16"/>
    <w:qFormat/>
    <w:uiPriority w:val="9"/>
    <w:pPr>
      <w:keepNext/>
      <w:keepLines/>
      <w:spacing w:before="260" w:beforeLines="0" w:after="260" w:afterLines="0" w:line="415" w:lineRule="auto"/>
      <w:outlineLvl w:val="2"/>
    </w:pPr>
    <w:rPr>
      <w:b/>
      <w:bCs/>
      <w:kern w:val="0"/>
      <w:sz w:val="32"/>
      <w:szCs w:val="32"/>
    </w:rPr>
  </w:style>
  <w:style w:type="paragraph" w:styleId="5">
    <w:name w:val="heading 4"/>
    <w:basedOn w:val="1"/>
    <w:next w:val="1"/>
    <w:link w:val="18"/>
    <w:qFormat/>
    <w:uiPriority w:val="0"/>
    <w:pPr>
      <w:keepNext/>
      <w:keepLines/>
      <w:numPr>
        <w:ilvl w:val="3"/>
        <w:numId w:val="1"/>
      </w:numPr>
      <w:spacing w:before="240" w:after="240" w:line="500" w:lineRule="atLeast"/>
      <w:outlineLvl w:val="3"/>
    </w:pPr>
    <w:rPr>
      <w:rFonts w:ascii="黑体" w:hAnsi="Arial" w:eastAsia="黑体"/>
      <w:sz w:val="28"/>
    </w:rPr>
  </w:style>
  <w:style w:type="paragraph" w:styleId="6">
    <w:name w:val="heading 5"/>
    <w:basedOn w:val="1"/>
    <w:next w:val="1"/>
    <w:link w:val="20"/>
    <w:qFormat/>
    <w:uiPriority w:val="0"/>
    <w:pPr>
      <w:keepNext/>
      <w:keepLines/>
      <w:tabs>
        <w:tab w:val="left" w:pos="1008"/>
      </w:tabs>
      <w:spacing w:before="280" w:after="290" w:line="376" w:lineRule="auto"/>
      <w:ind w:left="1008" w:hanging="1008"/>
      <w:outlineLvl w:val="4"/>
    </w:pPr>
    <w:rPr>
      <w:b/>
      <w:sz w:val="28"/>
    </w:rPr>
  </w:style>
  <w:style w:type="paragraph" w:styleId="7">
    <w:name w:val="heading 6"/>
    <w:basedOn w:val="1"/>
    <w:next w:val="1"/>
    <w:link w:val="19"/>
    <w:qFormat/>
    <w:uiPriority w:val="0"/>
    <w:pPr>
      <w:keepNext/>
      <w:keepLines/>
      <w:tabs>
        <w:tab w:val="left" w:pos="1152"/>
      </w:tabs>
      <w:spacing w:before="240" w:after="64" w:line="320" w:lineRule="auto"/>
      <w:ind w:left="1152" w:hanging="1152"/>
      <w:outlineLvl w:val="5"/>
    </w:pPr>
    <w:rPr>
      <w:rFonts w:ascii="Arial" w:hAnsi="Arial" w:eastAsia="黑体"/>
      <w:b/>
      <w:sz w:val="24"/>
    </w:rPr>
  </w:style>
  <w:style w:type="paragraph" w:styleId="8">
    <w:name w:val="heading 7"/>
    <w:basedOn w:val="1"/>
    <w:next w:val="1"/>
    <w:link w:val="15"/>
    <w:qFormat/>
    <w:uiPriority w:val="0"/>
    <w:pPr>
      <w:keepNext/>
      <w:keepLines/>
      <w:tabs>
        <w:tab w:val="left" w:pos="1296"/>
      </w:tabs>
      <w:spacing w:before="240" w:after="64" w:line="320" w:lineRule="auto"/>
      <w:ind w:left="1296" w:hanging="1296"/>
      <w:outlineLvl w:val="6"/>
    </w:pPr>
    <w:rPr>
      <w:b/>
      <w:sz w:val="24"/>
    </w:rPr>
  </w:style>
  <w:style w:type="paragraph" w:styleId="9">
    <w:name w:val="heading 8"/>
    <w:basedOn w:val="1"/>
    <w:next w:val="1"/>
    <w:link w:val="17"/>
    <w:qFormat/>
    <w:uiPriority w:val="0"/>
    <w:pPr>
      <w:keepNext/>
      <w:keepLines/>
      <w:tabs>
        <w:tab w:val="left" w:pos="1440"/>
      </w:tabs>
      <w:spacing w:before="240" w:after="64" w:line="320" w:lineRule="auto"/>
      <w:ind w:left="1440" w:hanging="1440"/>
      <w:outlineLvl w:val="7"/>
    </w:pPr>
    <w:rPr>
      <w:rFonts w:ascii="Arial" w:hAnsi="Arial" w:eastAsia="黑体"/>
      <w:sz w:val="24"/>
    </w:rPr>
  </w:style>
  <w:style w:type="paragraph" w:styleId="10">
    <w:name w:val="heading 9"/>
    <w:basedOn w:val="1"/>
    <w:next w:val="1"/>
    <w:link w:val="14"/>
    <w:qFormat/>
    <w:uiPriority w:val="0"/>
    <w:pPr>
      <w:keepNext/>
      <w:keepLines/>
      <w:tabs>
        <w:tab w:val="left" w:pos="1584"/>
      </w:tabs>
      <w:spacing w:before="240" w:after="64" w:line="320" w:lineRule="auto"/>
      <w:ind w:left="1584" w:hanging="1584"/>
      <w:outlineLvl w:val="8"/>
    </w:pPr>
    <w:rPr>
      <w:rFonts w:ascii="Arial" w:hAnsi="Arial" w:eastAsia="黑体"/>
    </w:rPr>
  </w:style>
  <w:style w:type="character" w:default="1" w:styleId="11">
    <w:name w:val="Default Paragraph Font"/>
    <w:qFormat/>
    <w:uiPriority w:val="0"/>
  </w:style>
  <w:style w:type="table" w:default="1" w:styleId="12">
    <w:name w:val="Normal Table"/>
    <w:unhideWhenUsed/>
    <w:qFormat/>
    <w:uiPriority w:val="99"/>
    <w:tblPr>
      <w:tblLayout w:type="fixed"/>
      <w:tblCellMar>
        <w:top w:w="0" w:type="dxa"/>
        <w:left w:w="108" w:type="dxa"/>
        <w:bottom w:w="0" w:type="dxa"/>
        <w:right w:w="108" w:type="dxa"/>
      </w:tblCellMar>
    </w:tblPr>
  </w:style>
  <w:style w:type="paragraph" w:customStyle="1" w:styleId="13">
    <w:name w:val="表格"/>
    <w:basedOn w:val="1"/>
    <w:qFormat/>
    <w:uiPriority w:val="0"/>
    <w:pPr>
      <w:spacing w:line="240" w:lineRule="auto"/>
    </w:pPr>
    <w:rPr>
      <w:sz w:val="21"/>
      <w:szCs w:val="24"/>
    </w:rPr>
  </w:style>
  <w:style w:type="character" w:customStyle="1" w:styleId="14">
    <w:name w:val="标题 9 Char"/>
    <w:link w:val="10"/>
    <w:qFormat/>
    <w:uiPriority w:val="0"/>
    <w:rPr>
      <w:rFonts w:ascii="Arial" w:hAnsi="Arial" w:eastAsia="黑体"/>
      <w:kern w:val="2"/>
      <w:sz w:val="21"/>
    </w:rPr>
  </w:style>
  <w:style w:type="character" w:customStyle="1" w:styleId="15">
    <w:name w:val="标题 7 Char"/>
    <w:link w:val="8"/>
    <w:qFormat/>
    <w:uiPriority w:val="0"/>
    <w:rPr>
      <w:rFonts w:ascii="Times New Roman" w:hAnsi="Times New Roman"/>
      <w:b/>
      <w:kern w:val="2"/>
      <w:sz w:val="24"/>
    </w:rPr>
  </w:style>
  <w:style w:type="character" w:customStyle="1" w:styleId="16">
    <w:name w:val="标题 3 Char"/>
    <w:link w:val="4"/>
    <w:qFormat/>
    <w:uiPriority w:val="9"/>
    <w:rPr>
      <w:rFonts w:ascii="Times New Roman" w:hAnsi="Times New Roman" w:eastAsia="宋体" w:cs="Times New Roman"/>
      <w:b/>
      <w:bCs/>
      <w:sz w:val="32"/>
      <w:szCs w:val="32"/>
    </w:rPr>
  </w:style>
  <w:style w:type="character" w:customStyle="1" w:styleId="17">
    <w:name w:val="标题 8 Char"/>
    <w:link w:val="9"/>
    <w:qFormat/>
    <w:uiPriority w:val="0"/>
    <w:rPr>
      <w:rFonts w:ascii="Arial" w:hAnsi="Arial" w:eastAsia="黑体"/>
      <w:kern w:val="2"/>
      <w:sz w:val="24"/>
    </w:rPr>
  </w:style>
  <w:style w:type="character" w:customStyle="1" w:styleId="18">
    <w:name w:val="标题 4 Char"/>
    <w:link w:val="5"/>
    <w:qFormat/>
    <w:uiPriority w:val="0"/>
    <w:rPr>
      <w:rFonts w:ascii="黑体" w:hAnsi="Arial" w:eastAsia="黑体"/>
      <w:kern w:val="2"/>
      <w:sz w:val="28"/>
    </w:rPr>
  </w:style>
  <w:style w:type="character" w:customStyle="1" w:styleId="19">
    <w:name w:val="标题 6 Char"/>
    <w:link w:val="7"/>
    <w:qFormat/>
    <w:uiPriority w:val="0"/>
    <w:rPr>
      <w:rFonts w:ascii="Arial" w:hAnsi="Arial" w:eastAsia="黑体"/>
      <w:b/>
      <w:kern w:val="2"/>
      <w:sz w:val="24"/>
    </w:rPr>
  </w:style>
  <w:style w:type="character" w:customStyle="1" w:styleId="20">
    <w:name w:val="标题 5 Char"/>
    <w:link w:val="6"/>
    <w:qFormat/>
    <w:uiPriority w:val="0"/>
    <w:rPr>
      <w:rFonts w:ascii="Times New Roman" w:hAnsi="Times New Roman"/>
      <w:b/>
      <w:kern w:val="2"/>
      <w:sz w:val="28"/>
    </w:rPr>
  </w:style>
  <w:style w:type="character" w:customStyle="1" w:styleId="21">
    <w:name w:val="标题 1 Char"/>
    <w:link w:val="2"/>
    <w:qFormat/>
    <w:uiPriority w:val="9"/>
    <w:rPr>
      <w:rFonts w:ascii="Times New Roman" w:hAnsi="Times New Roman"/>
      <w:b/>
      <w:bCs/>
      <w:kern w:val="44"/>
      <w:sz w:val="44"/>
      <w:szCs w:val="44"/>
    </w:rPr>
  </w:style>
  <w:style w:type="character" w:customStyle="1" w:styleId="22">
    <w:name w:val="标题 2 Char"/>
    <w:link w:val="3"/>
    <w:semiHidden/>
    <w:qFormat/>
    <w:uiPriority w:val="9"/>
    <w:rPr>
      <w:rFonts w:ascii="Cambria" w:hAnsi="Cambria" w:eastAsia="宋体" w:cs="Times New Roman"/>
      <w:b/>
      <w:bCs/>
      <w:kern w:val="2"/>
      <w:sz w:val="32"/>
      <w:szCs w:val="32"/>
    </w:r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numbering" Target="numbering.xml"/><Relationship Id="rId7"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oter" Target="footer2.xml"/><Relationship Id="rId4" Type="http://schemas.openxmlformats.org/officeDocument/2006/relationships/footer" Target="footer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38</Pages>
  <Words>3408</Words>
  <Characters>19428</Characters>
  <Lines>161</Lines>
  <Paragraphs>45</Paragraphs>
  <TotalTime>7</TotalTime>
  <ScaleCrop>false</ScaleCrop>
  <LinksUpToDate>false</LinksUpToDate>
  <CharactersWithSpaces>22791</CharactersWithSpaces>
  <Application>WPS Office_11.8.2.8015_F1E327BC-269C-435d-A152-05C5408002CA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2015年天津市政府债券</dc:title>
  <cp:revision>782</cp:revision>
  <cp:lastPrinted>2016-12-06T01:40:00Z</cp:lastPrinted>
  <dcterms:created xsi:type="dcterms:W3CDTF">2015-04-03T01:04:00Z</dcterms:created>
  <dcterms:modified xsi:type="dcterms:W3CDTF">2018-11-29T03:36:35Z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2052-11.8.2.8015</vt:lpwstr>
  </property>
</Properties>
</file>