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widowControl/>
        <w:spacing w:before="100" w:beforeAutospacing="1" w:after="100" w:afterAutospacing="1" w:line="300" w:lineRule="atLeast"/>
        <w:jc w:val="center"/>
        <w:rPr>
          <w:rFonts w:ascii="ˎ̥" w:hAnsi="ˎ̥" w:cs="宋体"/>
          <w:b/>
          <w:bCs/>
          <w:kern w:val="0"/>
          <w:sz w:val="36"/>
          <w:szCs w:val="36"/>
        </w:rPr>
      </w:pPr>
      <w:r>
        <w:rPr>
          <w:rFonts w:ascii="ˎ̥" w:hAnsi="ˎ̥" w:eastAsia="宋体" w:cs="宋体"/>
          <w:b/>
          <w:bCs/>
          <w:kern w:val="0"/>
          <w:sz w:val="44"/>
          <w:szCs w:val="44"/>
        </w:rPr>
        <w:t>年度經營計畫書</w:t>
      </w:r>
    </w:p>
    <w:p>
      <w:pPr>
        <w:pStyle w:val="2"/>
      </w:pPr>
      <w:r>
        <w:rPr>
          <w:rFonts w:eastAsia="宋体"/>
        </w:rPr>
        <w:t> 一、經營方針</w:t>
      </w:r>
      <w:bookmarkStart w:id="0" w:name="_GoBack"/>
      <w:bookmarkEnd w:id="0"/>
    </w:p>
    <w:p>
      <w:pPr>
        <w:widowControl/>
        <w:spacing w:before="100" w:beforeAutospacing="1" w:after="100" w:afterAutospacing="1" w:line="300" w:lineRule="atLeast"/>
        <w:jc w:val="left"/>
        <w:rPr>
          <w:rFonts w:hint="eastAsia" w:ascii="ˎ̥" w:hAnsi="ˎ̥" w:eastAsia="宋体" w:cs="宋体"/>
          <w:kern w:val="0"/>
          <w:sz w:val="24"/>
          <w:szCs w:val="24"/>
          <w:lang w:val="en-US" w:eastAsia="zh-CN"/>
        </w:rPr>
      </w:pPr>
      <w:r>
        <w:rPr>
          <w:rFonts w:ascii="ˎ̥" w:hAnsi="ˎ̥" w:eastAsia="宋体" w:cs="宋体"/>
          <w:kern w:val="0"/>
          <w:sz w:val="24"/>
          <w:szCs w:val="24"/>
        </w:rPr>
        <w:t xml:space="preserve">       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eastAsia="zh-CN"/>
        </w:rPr>
        <w:t>簡述公司的年度經營方針。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pStyle w:val="2"/>
      </w:pPr>
      <w:r>
        <w:rPr>
          <w:rFonts w:eastAsia="宋体"/>
        </w:rPr>
        <w:t>二、經營目標</w:t>
      </w:r>
    </w:p>
    <w:p>
      <w:pPr>
        <w:pStyle w:val="3"/>
      </w:pPr>
      <w:r>
        <w:rPr>
          <w:rFonts w:eastAsia="宋体"/>
        </w:rPr>
        <w:t>（一）核心經營目標</w:t>
      </w:r>
    </w:p>
    <w:p>
      <w:pPr>
        <w:widowControl/>
        <w:spacing w:before="100" w:beforeAutospacing="1" w:after="100" w:afterAutospacing="1" w:line="300" w:lineRule="atLeast"/>
        <w:ind w:firstLine="420" w:firstLineChars="0"/>
        <w:jc w:val="left"/>
        <w:rPr>
          <w:rFonts w:ascii="ˎ̥" w:hAnsi="ˎ̥" w:cs="宋体"/>
          <w:kern w:val="0"/>
          <w:sz w:val="24"/>
          <w:szCs w:val="24"/>
          <w:lang w:val="en-US"/>
        </w:rPr>
      </w:pP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eastAsia="zh-CN"/>
        </w:rPr>
        <w:t>簡述公司的核心經營</w:t>
      </w:r>
      <w:r>
        <w:rPr>
          <w:rFonts w:ascii="ˎ̥" w:hAnsi="ˎ̥" w:eastAsia="宋体" w:cs="宋体"/>
          <w:i/>
          <w:iCs/>
          <w:kern w:val="0"/>
          <w:sz w:val="24"/>
          <w:szCs w:val="24"/>
        </w:rPr>
        <w:t>目標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eastAsia="zh-CN"/>
        </w:rPr>
        <w:t>，可以用數字說明。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pStyle w:val="3"/>
        <w:rPr>
          <w:rFonts w:hint="eastAsia"/>
        </w:rPr>
      </w:pPr>
      <w:r>
        <w:rPr>
          <w:rFonts w:eastAsia="宋体"/>
        </w:rPr>
        <w:t>（二）銷售目標細分</w:t>
      </w:r>
    </w:p>
    <w:p>
      <w:pPr>
        <w:adjustRightInd w:val="0"/>
        <w:snapToGrid w:val="0"/>
        <w:spacing w:line="360" w:lineRule="auto"/>
        <w:ind w:firstLine="2280" w:firstLineChars="950"/>
        <w:jc w:val="left"/>
        <w:rPr>
          <w:rFonts w:hint="eastAsia"/>
          <w:sz w:val="24"/>
          <w:szCs w:val="24"/>
        </w:rPr>
      </w:pPr>
      <w:r>
        <w:rPr>
          <w:rFonts w:hint="eastAsia" w:eastAsia="宋体"/>
          <w:b w:val="0"/>
          <w:bCs w:val="0"/>
          <w:sz w:val="24"/>
          <w:szCs w:val="24"/>
        </w:rPr>
        <w:t>銷售目標細分表（計算單位：萬元/人民幣）</w:t>
      </w:r>
    </w:p>
    <w:tbl>
      <w:tblPr>
        <w:tblStyle w:val="8"/>
        <w:tblW w:w="9036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80"/>
        <w:gridCol w:w="1615"/>
        <w:gridCol w:w="1980"/>
        <w:gridCol w:w="1080"/>
        <w:gridCol w:w="1116"/>
        <w:gridCol w:w="1080"/>
        <w:gridCol w:w="108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分類</w:t>
            </w: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專案</w:t>
            </w:r>
          </w:p>
        </w:tc>
        <w:tc>
          <w:tcPr>
            <w:tcW w:w="19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年度目標</w:t>
            </w: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第一季度</w:t>
            </w: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第二季度</w:t>
            </w: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第三季度</w:t>
            </w: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第四季度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restart"/>
            <w:vAlign w:val="center"/>
          </w:tcPr>
          <w:p>
            <w:pPr>
              <w:adjustRightInd w:val="0"/>
              <w:snapToGrid w:val="0"/>
              <w:spacing w:line="360" w:lineRule="auto"/>
              <w:ind w:left="-420" w:leftChars="-495" w:hanging="619" w:hangingChars="258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20%</w:t>
            </w: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25%</w:t>
            </w: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35%</w:t>
            </w: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color w:val="000000"/>
                <w:sz w:val="24"/>
                <w:szCs w:val="24"/>
              </w:rPr>
              <w:t>30%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hint="eastAsia"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80" w:type="dxa"/>
            <w:vMerge w:val="continue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615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980" w:type="dxa"/>
            <w:vAlign w:val="center"/>
          </w:tcPr>
          <w:p>
            <w:pPr>
              <w:jc w:val="center"/>
              <w:rPr>
                <w:rFonts w:ascii="宋体" w:hAnsi="宋体" w:cs="宋体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116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0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  <w:tc>
          <w:tcPr>
            <w:tcW w:w="1085" w:type="dxa"/>
            <w:vAlign w:val="center"/>
          </w:tcPr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color w:val="00000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036" w:type="dxa"/>
            <w:gridSpan w:val="7"/>
            <w:vAlign w:val="center"/>
          </w:tcPr>
          <w:p>
            <w:pPr>
              <w:adjustRightInd w:val="0"/>
              <w:snapToGrid w:val="0"/>
              <w:spacing w:line="360" w:lineRule="auto"/>
              <w:rPr>
                <w:rFonts w:ascii="宋体" w:hAnsi="宋体"/>
                <w:bCs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全年完成業績：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  <w:u w:val="single"/>
              </w:rPr>
              <w:t xml:space="preserve">     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億元（目標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  <w:u w:val="single"/>
              </w:rPr>
              <w:t xml:space="preserve">        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億）</w:t>
            </w:r>
          </w:p>
          <w:p>
            <w:pPr>
              <w:adjustRightInd w:val="0"/>
              <w:snapToGrid w:val="0"/>
              <w:spacing w:line="360" w:lineRule="auto"/>
              <w:jc w:val="center"/>
              <w:rPr>
                <w:rFonts w:hint="eastAsia" w:ascii="宋体" w:hAnsi="宋体"/>
                <w:bCs/>
                <w:color w:val="000000"/>
                <w:sz w:val="24"/>
                <w:szCs w:val="24"/>
              </w:rPr>
            </w:pP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月度平均業績：第一季度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  <w:u w:val="single"/>
              </w:rPr>
              <w:t xml:space="preserve">   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萬元，第二季度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  <w:u w:val="single"/>
              </w:rPr>
              <w:t xml:space="preserve">   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萬元，第三季度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  <w:u w:val="single"/>
              </w:rPr>
              <w:t xml:space="preserve">    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萬元，第四季度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  <w:u w:val="single"/>
              </w:rPr>
              <w:t xml:space="preserve">   </w:t>
            </w:r>
            <w:r>
              <w:rPr>
                <w:rFonts w:hint="eastAsia" w:ascii="宋体" w:hAnsi="宋体" w:eastAsia="宋体"/>
                <w:bCs/>
                <w:color w:val="000000"/>
                <w:sz w:val="24"/>
                <w:szCs w:val="24"/>
              </w:rPr>
              <w:t>萬元</w:t>
            </w:r>
          </w:p>
        </w:tc>
      </w:tr>
    </w:tbl>
    <w:p>
      <w:pPr>
        <w:pStyle w:val="2"/>
      </w:pPr>
      <w:r>
        <w:rPr>
          <w:rFonts w:eastAsia="宋体"/>
        </w:rPr>
        <w:t>三、主要經營策略</w:t>
      </w:r>
    </w:p>
    <w:p>
      <w:pPr>
        <w:pStyle w:val="3"/>
      </w:pPr>
      <w:r>
        <w:rPr>
          <w:rFonts w:eastAsia="宋体"/>
        </w:rPr>
        <w:t>（一）市場策略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</w:p>
    <w:p>
      <w:pPr>
        <w:pStyle w:val="3"/>
      </w:pPr>
      <w:r>
        <w:rPr>
          <w:rFonts w:eastAsia="宋体"/>
        </w:rPr>
        <w:t>（二）產品策略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</w:p>
    <w:p>
      <w:pPr>
        <w:pStyle w:val="3"/>
      </w:pPr>
      <w:r>
        <w:rPr>
          <w:rFonts w:eastAsia="宋体"/>
        </w:rPr>
        <w:t>（三）品牌與招商策略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</w:p>
    <w:p>
      <w:pPr>
        <w:pStyle w:val="2"/>
      </w:pPr>
      <w:r>
        <w:rPr>
          <w:rFonts w:eastAsia="宋体"/>
        </w:rPr>
        <w:t>四、實現目標的保障措施</w:t>
      </w:r>
    </w:p>
    <w:p>
      <w:pPr>
        <w:pStyle w:val="3"/>
      </w:pPr>
      <w:r>
        <w:rPr>
          <w:rFonts w:eastAsia="宋体"/>
        </w:rPr>
        <w:t>（一）生產資源保障</w:t>
      </w:r>
    </w:p>
    <w:p/>
    <w:p>
      <w:pPr>
        <w:pStyle w:val="3"/>
      </w:pPr>
      <w:r>
        <w:rPr>
          <w:rFonts w:eastAsia="宋体"/>
        </w:rPr>
        <w:t>（二）人力資源保障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  <w:r>
        <w:rPr>
          <w:rFonts w:ascii="ˎ̥" w:hAnsi="ˎ̥" w:eastAsia="宋体" w:cs="宋体"/>
          <w:kern w:val="0"/>
          <w:sz w:val="24"/>
          <w:szCs w:val="24"/>
        </w:rPr>
        <w:t>   </w:t>
      </w:r>
    </w:p>
    <w:p>
      <w:pPr>
        <w:pStyle w:val="3"/>
      </w:pPr>
      <w:r>
        <w:rPr>
          <w:rFonts w:eastAsia="宋体"/>
        </w:rPr>
        <w:t>（三）綜合管理保障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  <w:r>
        <w:rPr>
          <w:rFonts w:ascii="ˎ̥" w:hAnsi="ˎ̥" w:eastAsia="宋体" w:cs="宋体"/>
          <w:kern w:val="0"/>
          <w:sz w:val="24"/>
          <w:szCs w:val="24"/>
        </w:rPr>
        <w:t xml:space="preserve">       </w:t>
      </w:r>
    </w:p>
    <w:p>
      <w:pPr>
        <w:pStyle w:val="3"/>
      </w:pPr>
      <w:r>
        <w:rPr>
          <w:rFonts w:eastAsia="宋体"/>
        </w:rPr>
        <w:t>（四）財務資源保障</w:t>
      </w:r>
    </w:p>
    <w:p>
      <w:pPr>
        <w:widowControl/>
        <w:spacing w:before="100" w:beforeAutospacing="1" w:after="100" w:afterAutospacing="1" w:line="300" w:lineRule="atLeast"/>
        <w:jc w:val="left"/>
        <w:rPr>
          <w:rFonts w:ascii="ˎ̥" w:hAnsi="ˎ̥" w:cs="宋体"/>
          <w:kern w:val="0"/>
          <w:sz w:val="24"/>
          <w:szCs w:val="24"/>
        </w:rPr>
      </w:pPr>
      <w:r>
        <w:rPr>
          <w:rFonts w:ascii="ˎ̥" w:hAnsi="ˎ̥" w:eastAsia="宋体" w:cs="宋体"/>
          <w:kern w:val="0"/>
          <w:sz w:val="24"/>
          <w:szCs w:val="24"/>
        </w:rPr>
        <w:t>     </w:t>
      </w:r>
    </w:p>
    <w:p>
      <w:pPr>
        <w:pStyle w:val="3"/>
        <w:numPr>
          <w:ilvl w:val="0"/>
          <w:numId w:val="1"/>
        </w:numPr>
      </w:pPr>
      <w:r>
        <w:rPr>
          <w:rFonts w:eastAsia="宋体"/>
        </w:rPr>
        <w:t>組織管理保障</w:t>
      </w:r>
    </w:p>
    <w:p>
      <w:pPr>
        <w:numPr>
          <w:ilvl w:val="0"/>
          <w:numId w:val="0"/>
        </w:numPr>
      </w:pPr>
    </w:p>
    <w:p>
      <w:pPr>
        <w:pStyle w:val="2"/>
      </w:pPr>
      <w:r>
        <w:rPr>
          <w:rFonts w:eastAsia="宋体"/>
        </w:rPr>
        <w:t>五、總體要求</w:t>
      </w:r>
    </w:p>
    <w:p>
      <w:pPr>
        <w:widowControl/>
        <w:spacing w:before="100" w:beforeAutospacing="1" w:after="100" w:afterAutospacing="1" w:line="300" w:lineRule="atLeast"/>
        <w:jc w:val="left"/>
        <w:rPr>
          <w:lang w:val="en-US"/>
        </w:rPr>
      </w:pPr>
      <w:r>
        <w:rPr>
          <w:rFonts w:ascii="ˎ̥" w:hAnsi="ˎ̥" w:eastAsia="宋体" w:cs="宋体"/>
          <w:kern w:val="0"/>
          <w:sz w:val="24"/>
          <w:szCs w:val="24"/>
        </w:rPr>
        <w:t>      </w:t>
      </w:r>
      <w:r>
        <w:rPr>
          <w:rFonts w:ascii="ˎ̥" w:hAnsi="ˎ̥" w:eastAsia="宋体" w:cs="宋体"/>
          <w:i/>
          <w:iCs/>
          <w:kern w:val="0"/>
          <w:sz w:val="24"/>
          <w:szCs w:val="24"/>
        </w:rPr>
        <w:t xml:space="preserve"> 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eastAsia="zh-CN"/>
        </w:rPr>
        <w:t>實現經營目標的總體要求，可分條展開敘述。</w:t>
      </w:r>
      <w:r>
        <w:rPr>
          <w:rFonts w:hint="eastAsia" w:ascii="ˎ̥" w:hAnsi="ˎ̥" w:eastAsia="宋体" w:cs="宋体"/>
          <w:i/>
          <w:iCs/>
          <w:kern w:val="0"/>
          <w:sz w:val="24"/>
          <w:szCs w:val="24"/>
          <w:lang w:val="en-US" w:eastAsia="zh-CN"/>
        </w:rPr>
        <w:t>]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ˎ̥">
    <w:altName w:val="Times New Roman"/>
    <w:panose1 w:val="00000000000000000000"/>
    <w:charset w:val="00"/>
    <w:family w:val="roman"/>
    <w:pitch w:val="default"/>
    <w:sig w:usb0="00000000" w:usb1="00000000" w:usb2="00000000" w:usb3="00000000" w:csb0="00040001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4A36296"/>
    <w:multiLevelType w:val="singleLevel"/>
    <w:tmpl w:val="44A36296"/>
    <w:lvl w:ilvl="0" w:tentative="0">
      <w:start w:val="5"/>
      <w:numFmt w:val="chineseCounting"/>
      <w:suff w:val="nothing"/>
      <w:lvlText w:val="（%1）"/>
      <w:lvlJc w:val="left"/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D657B2C"/>
    <w:rsid w:val="01E96279"/>
    <w:rsid w:val="04B62499"/>
    <w:rsid w:val="074E694B"/>
    <w:rsid w:val="0D992E2D"/>
    <w:rsid w:val="13B012C9"/>
    <w:rsid w:val="169A116F"/>
    <w:rsid w:val="22A67406"/>
    <w:rsid w:val="25221E48"/>
    <w:rsid w:val="28D521C0"/>
    <w:rsid w:val="2941353F"/>
    <w:rsid w:val="31D578B2"/>
    <w:rsid w:val="32CE71AA"/>
    <w:rsid w:val="32F2643C"/>
    <w:rsid w:val="3A7D0CAF"/>
    <w:rsid w:val="3D657B2C"/>
    <w:rsid w:val="3E732867"/>
    <w:rsid w:val="44D30289"/>
    <w:rsid w:val="45EC1A30"/>
    <w:rsid w:val="4BDA1C04"/>
    <w:rsid w:val="568F5F1C"/>
    <w:rsid w:val="67562DB8"/>
    <w:rsid w:val="6A623E5C"/>
    <w:rsid w:val="7600797C"/>
    <w:rsid w:val="78866F75"/>
    <w:rsid w:val="788A00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100" w:beforeLines="0" w:beforeAutospacing="0" w:after="90" w:afterLines="0" w:afterAutospacing="0" w:line="360" w:lineRule="auto"/>
      <w:outlineLvl w:val="0"/>
    </w:pPr>
    <w:rPr>
      <w:rFonts w:eastAsia="黑体"/>
      <w:b/>
      <w:kern w:val="44"/>
      <w:sz w:val="28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140" w:beforeLines="0" w:beforeAutospacing="0" w:after="140" w:afterLines="0" w:afterAutospacing="0" w:line="360" w:lineRule="auto"/>
      <w:outlineLvl w:val="1"/>
    </w:pPr>
    <w:rPr>
      <w:rFonts w:ascii="Arial" w:hAnsi="Arial" w:eastAsia="宋体"/>
      <w:b/>
      <w:sz w:val="24"/>
    </w:rPr>
  </w:style>
  <w:style w:type="paragraph" w:styleId="4">
    <w:name w:val="heading 3"/>
    <w:basedOn w:val="1"/>
    <w:next w:val="1"/>
    <w:semiHidden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sz w:val="24"/>
    </w:rPr>
  </w:style>
  <w:style w:type="paragraph" w:styleId="5">
    <w:name w:val="heading 4"/>
    <w:basedOn w:val="1"/>
    <w:next w:val="1"/>
    <w:semiHidden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3"/>
    </w:pPr>
    <w:rPr>
      <w:rFonts w:ascii="Arial" w:hAnsi="Arial" w:eastAsia="宋体"/>
      <w:sz w:val="24"/>
    </w:rPr>
  </w:style>
  <w:style w:type="character" w:default="1" w:styleId="6">
    <w:name w:val="Default Paragraph Font"/>
    <w:semiHidden/>
    <w:qFormat/>
    <w:uiPriority w:val="0"/>
  </w:style>
  <w:style w:type="table" w:default="1" w:styleId="7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table" w:styleId="8">
    <w:name w:val="Table Grid"/>
    <w:basedOn w:val="7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18</TotalTime>
  <ScaleCrop>false</ScaleCrop>
  <LinksUpToDate>false</LinksUpToDate>
  <CharactersWithSpaces>0</CharactersWithSpaces>
  <Application>WPS Office_11.8.2.8015_F1E327BC-269C-435d-A152-05C5408002CA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  <dcterms:created xsi:type="dcterms:W3CDTF">2018-08-28T01:48:00Z</dcterms:created>
  <dcterms:modified xsi:type="dcterms:W3CDTF">2018-11-29T03:38:34Z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2052-11.8.2.8015</vt:lpwstr>
  </property>
</Properties>
</file>