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6"/>
          <w:szCs w:val="36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72"/>
          <w:szCs w:val="72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72"/>
          <w:szCs w:val="72"/>
        </w:rPr>
        <w:t>專案計畫書</w:t>
      </w: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</w:p>
    <w:p>
      <w:pPr>
        <w:jc w:val="center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 xml:space="preserve">           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專案</w:t>
      </w: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>名稱：</w:t>
      </w:r>
      <w:bookmarkStart w:id="19" w:name="_GoBack"/>
      <w:bookmarkEnd w:id="19"/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企業名稱</w:t>
      </w: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>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專案負責人：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  <w:lang w:val="en-US" w:eastAsia="zh-CN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  <w:lang w:val="en-US" w:eastAsia="zh-CN"/>
        </w:rPr>
        <w:t>聯繫方式：</w:t>
      </w:r>
    </w:p>
    <w:p>
      <w:pPr>
        <w:ind w:left="420" w:leftChars="0" w:firstLine="420" w:firstLineChars="0"/>
        <w:jc w:val="both"/>
        <w:rPr>
          <w:rFonts w:hint="eastAsia" w:asciiTheme="majorEastAsia" w:hAnsiTheme="majorEastAsia" w:eastAsiaTheme="majorEastAsia" w:cstheme="majorEastAsia"/>
          <w:b/>
          <w:bCs/>
          <w:kern w:val="0"/>
          <w:sz w:val="30"/>
          <w:szCs w:val="30"/>
        </w:rPr>
      </w:pPr>
      <w:r>
        <w:rPr>
          <w:rFonts w:hint="eastAsia" w:eastAsia="宋体" w:asciiTheme="majorEastAsia" w:hAnsiTheme="majorEastAsia" w:cstheme="majorEastAsia"/>
          <w:b/>
          <w:bCs/>
          <w:kern w:val="0"/>
          <w:sz w:val="30"/>
          <w:szCs w:val="30"/>
        </w:rPr>
        <w:t>日    期：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  <w:sectPr>
          <w:pgSz w:w="11906" w:h="16838"/>
          <w:pgMar w:top="1440" w:right="1800" w:bottom="1440" w:left="1800" w:header="851" w:footer="992" w:gutter="0"/>
          <w:pgNumType w:fmt="decimal"/>
          <w:cols w:space="425" w:num="1"/>
          <w:docGrid w:type="lines" w:linePitch="312" w:charSpace="0"/>
        </w:sectPr>
      </w:pPr>
    </w:p>
    <w:sdt>
      <w:sdtPr>
        <w:rPr>
          <w:rFonts w:ascii="宋体" w:hAnsi="宋体" w:eastAsia="宋体" w:cs="Times New Roman"/>
          <w:kern w:val="2"/>
          <w:sz w:val="21"/>
          <w:szCs w:val="24"/>
          <w:lang w:val="en-US" w:eastAsia="zh-CN" w:bidi="ar-SA"/>
        </w:rPr>
        <w:id w:val="147470619"/>
        <w:docPartObj>
          <w:docPartGallery w:val="Table of Contents"/>
          <w:docPartUnique/>
        </w:docPartObj>
      </w:sdtPr>
      <w:sdtEndPr>
        <w:rPr>
          <w:rFonts w:ascii="宋体" w:hAnsi="宋体" w:eastAsia="宋体" w:cs="Times New Roman"/>
          <w:kern w:val="2"/>
          <w:sz w:val="20"/>
          <w:szCs w:val="20"/>
          <w:lang w:val="en-US" w:eastAsia="zh-CN" w:bidi="ar-SA"/>
        </w:rPr>
      </w:sdtEndPr>
      <w:sdtContent>
        <w:p>
          <w:pPr>
            <w:keepNext w:val="0"/>
            <w:keepLines w:val="0"/>
            <w:pageBreakBefore w:val="0"/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before="0" w:beforeLines="0" w:after="0" w:afterLines="0" w:line="360" w:lineRule="auto"/>
            <w:ind w:left="0" w:leftChars="0" w:right="0" w:rightChars="0" w:firstLine="0" w:firstLineChars="0"/>
            <w:jc w:val="center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b/>
              <w:bCs/>
              <w:sz w:val="24"/>
              <w:szCs w:val="24"/>
            </w:rPr>
          </w:pPr>
          <w:bookmarkStart w:id="0" w:name="_Toc10897_WPSOffice_Type1"/>
          <w:r>
            <w:rPr>
              <w:rFonts w:hint="eastAsia" w:eastAsia="宋体" w:asciiTheme="minorEastAsia" w:hAnsiTheme="minorEastAsia" w:cstheme="minorEastAsia"/>
              <w:b/>
              <w:bCs/>
              <w:sz w:val="24"/>
              <w:szCs w:val="24"/>
            </w:rPr>
            <w:t>目</w:t>
          </w:r>
          <w:r>
            <w:rPr>
              <w:rFonts w:hint="eastAsia" w:eastAsia="宋体" w:asciiTheme="minorEastAsia" w:hAnsiTheme="minorEastAsia" w:cstheme="minorEastAsia"/>
              <w:b/>
              <w:bCs/>
              <w:sz w:val="24"/>
              <w:szCs w:val="24"/>
              <w:lang w:val="en-US" w:eastAsia="zh-CN"/>
            </w:rPr>
            <w:t xml:space="preserve"> </w:t>
          </w:r>
          <w:r>
            <w:rPr>
              <w:rFonts w:hint="eastAsia" w:eastAsia="宋体" w:asciiTheme="minorEastAsia" w:hAnsiTheme="minorEastAsia" w:cstheme="minorEastAsia"/>
              <w:b/>
              <w:bCs/>
              <w:sz w:val="24"/>
              <w:szCs w:val="24"/>
            </w:rPr>
            <w:t>錄</w:t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_Toc31350_WPSOffice_Level1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bf184536-b3b7-488c-acbf-1489e3249663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一、 專案概覽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1" w:name="_Toc31350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1</w:t>
          </w:r>
          <w:bookmarkEnd w:id="1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_Toc10897_WPSOffice_Level1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a4d365fb-cf9f-4fec-900f-3b13aab951f8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二、 專案的內容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2" w:name="_Toc10897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1</w:t>
          </w:r>
          <w:bookmarkEnd w:id="2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_Toc25075_WPSOffice_Level1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390708bd-2db3-4e99-8826-148375ace910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三、 專案發起人、股東方、管理和技術支持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3" w:name="_Toc25075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2</w:t>
          </w:r>
          <w:bookmarkEnd w:id="3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_Toc22913_WPSOffice_Level1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ce7cc104-9976-4e15-9743-3b07b37150f5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四、 市場和銷售安排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4" w:name="_Toc22913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2</w:t>
          </w:r>
          <w:bookmarkEnd w:id="4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_Toc28396_WPSOffice_Level1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223a1649-4adc-4a47-9c3a-311697c39a17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五、 技術可行性、人員、原材料供應和環境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5" w:name="_Toc28396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3</w:t>
          </w:r>
          <w:bookmarkEnd w:id="5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_Toc31449_WPSOffice_Level1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12c8eace-1e02-4aef-91b5-4a9b2a3933f6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六、 投資預算、融資計畫和效益分析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6" w:name="_Toc31449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4</w:t>
          </w:r>
          <w:bookmarkEnd w:id="6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_Toc28978_WPSOffice_Level1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92214967-59ac-4fc1-a192-6897b37b3c7a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七、 政府支持、管理和審批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7" w:name="_Toc28978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4</w:t>
          </w:r>
          <w:bookmarkEnd w:id="7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_Toc951_WPSOffice_Level1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59dd6ec7-159c-4537-9c12-aba7ed7bb924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八、 專案準備和進展的時間表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8" w:name="_Toc951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5</w:t>
          </w:r>
          <w:bookmarkEnd w:id="8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</w:p>
        <w:p>
          <w:pPr>
            <w:pStyle w:val="10"/>
            <w:keepNext w:val="0"/>
            <w:keepLines w:val="0"/>
            <w:pageBreakBefore w:val="0"/>
            <w:tabs>
              <w:tab w:val="right" w:leader="dot" w:pos="8306"/>
            </w:tabs>
            <w:kinsoku/>
            <w:wordWrap/>
            <w:overflowPunct/>
            <w:topLinePunct w:val="0"/>
            <w:autoSpaceDE/>
            <w:autoSpaceDN/>
            <w:bidi w:val="0"/>
            <w:adjustRightInd/>
            <w:snapToGrid/>
            <w:spacing w:line="360" w:lineRule="auto"/>
            <w:textAlignment w:val="auto"/>
            <w:outlineLvl w:val="9"/>
          </w:pP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begin"/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instrText xml:space="preserve"> HYPERLINK \l _Toc24489_WPSOffice_Level1 </w:instrText>
          </w:r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separate"/>
          </w:r>
          <w:sdt>
            <w:sdt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  <w:id w:val="147470619"/>
              <w:placeholder>
                <w:docPart w:val="{f8a0c434-0f9e-4ea3-b759-e3ce9db137ce}"/>
              </w:placeholder>
            </w:sdtPr>
            <w:sdtEndPr>
              <w:rPr>
                <w:rFonts w:hint="eastAsia" w:asciiTheme="minorEastAsia" w:hAnsiTheme="minorEastAsia" w:eastAsiaTheme="minorEastAsia" w:cstheme="minorEastAsia"/>
                <w:kern w:val="2"/>
                <w:sz w:val="24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eastAsia="宋体" w:asciiTheme="minorEastAsia" w:hAnsiTheme="minorEastAsia" w:cstheme="minorEastAsia"/>
                  <w:sz w:val="24"/>
                  <w:szCs w:val="24"/>
                </w:rPr>
                <w:t>附件：</w:t>
              </w:r>
            </w:sdtContent>
          </w:sdt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tab/>
          </w:r>
          <w:bookmarkStart w:id="9" w:name="_Toc24489_WPSOffice_Level1Page"/>
          <w:r>
            <w:rPr>
              <w:rFonts w:hint="eastAsia" w:eastAsia="宋体" w:asciiTheme="minorEastAsia" w:hAnsiTheme="minorEastAsia" w:cstheme="minorEastAsia"/>
              <w:sz w:val="24"/>
              <w:szCs w:val="24"/>
            </w:rPr>
            <w:t>5</w:t>
          </w:r>
          <w:bookmarkEnd w:id="9"/>
          <w:r>
            <w:rPr>
              <w:rFonts w:hint="eastAsia" w:asciiTheme="minorEastAsia" w:hAnsiTheme="minorEastAsia" w:eastAsiaTheme="minorEastAsia" w:cstheme="minorEastAsia"/>
              <w:sz w:val="24"/>
              <w:szCs w:val="24"/>
            </w:rPr>
            <w:fldChar w:fldCharType="end"/>
          </w:r>
          <w:bookmarkEnd w:id="0"/>
        </w:p>
      </w:sdtContent>
    </w:sdt>
    <w:p>
      <w:pPr>
        <w:rPr>
          <w:rFonts w:hint="eastAsia"/>
        </w:rPr>
        <w:sectPr>
          <w:footerReference r:id="rId3" w:type="default"/>
          <w:pgSz w:w="11906" w:h="16838"/>
          <w:pgMar w:top="1440" w:right="1800" w:bottom="1440" w:left="1800" w:header="851" w:footer="992" w:gutter="0"/>
          <w:pgNumType w:fmt="decimal" w:start="1"/>
          <w:cols w:space="425" w:num="1"/>
          <w:docGrid w:type="lines" w:linePitch="312" w:charSpace="0"/>
        </w:sectPr>
      </w:pP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0" w:name="_Toc31350_WPSOffice_Level1"/>
      <w:r>
        <w:rPr>
          <w:rFonts w:hint="eastAsia" w:eastAsia="宋体"/>
        </w:rPr>
        <w:t>專案概覽</w:t>
      </w:r>
      <w:bookmarkEnd w:id="10"/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專案的簡要介紹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1" w:name="_Toc10897_WPSOffice_Level1"/>
      <w:r>
        <w:rPr>
          <w:rFonts w:hint="eastAsia" w:eastAsia="宋体"/>
        </w:rPr>
        <w:t>專案的內容</w:t>
      </w:r>
      <w:bookmarkEnd w:id="11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1、立項依據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根據國內外現狀、存在的問題以及發展趨勢進行闡述。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2、專案意義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就其對產業的進步、經濟建設和社會發展的推動作用方面進行論述。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3、專案的內容及目標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就專案的內容和目標進行闡述。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4、專案可行性分析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</w:t>
      </w:r>
      <w:r>
        <w:rPr>
          <w:rFonts w:hint="eastAsia" w:eastAsia="宋体" w:asciiTheme="majorEastAsia" w:hAnsiTheme="majorEastAsia" w:cstheme="majorEastAsia"/>
          <w:b w:val="0"/>
          <w:bCs w:val="0"/>
          <w:i w:val="0"/>
          <w:iCs w:val="0"/>
          <w:kern w:val="0"/>
          <w:sz w:val="24"/>
          <w:szCs w:val="24"/>
        </w:rPr>
        <w:t>對專案進行可行性方面的分析，包括專案已有的單位、實力情況、現有條件、工作基礎以及優勢。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</w:t>
      </w:r>
      <w:r>
        <w:rPr>
          <w:rFonts w:hint="eastAsia" w:eastAsia="宋体" w:asciiTheme="majorEastAsia" w:hAnsiTheme="majorEastAsia" w:cstheme="majorEastAsia"/>
          <w:b w:val="0"/>
          <w:bCs w:val="0"/>
          <w:i w:val="0"/>
          <w:iCs w:val="0"/>
          <w:kern w:val="0"/>
          <w:sz w:val="24"/>
          <w:szCs w:val="24"/>
        </w:rPr>
        <w:t>就存在的問題以及解決辦法等進行分析。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5、需求預測及分析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⑴市場定位及市場分析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⑵用戶分析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⑶市場環境及前景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6、完成專案採用的方法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就完成專案需要採用的方法進行闡述。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2" w:name="_Toc25075_WPSOffice_Level1"/>
      <w:r>
        <w:rPr>
          <w:rFonts w:hint="eastAsia" w:eastAsia="宋体"/>
        </w:rPr>
        <w:t>專案發起人、股東方、管理和技術支持</w:t>
      </w:r>
      <w:bookmarkEnd w:id="12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1、專案發起方的背景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就專案發起方的情況進行說明。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2、專案發起方的業務，包括近三年的財務報表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⑴專案發起方的業務情況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⑵專案發起方近三年的財務報表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3、專案發起方的主要股東和管理人員的簡歷。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3" w:name="_Toc22913_WPSOffice_Level1"/>
      <w:r>
        <w:rPr>
          <w:rFonts w:hint="eastAsia" w:eastAsia="宋体"/>
        </w:rPr>
        <w:t>市場和銷售安排</w:t>
      </w:r>
      <w:bookmarkEnd w:id="13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1、市場的基本情況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⑴該產品的主要用途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⑵本地、國內和出口市場的目前容量、增長率，價格變化等。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2、該專案的生產能力、生產成本，單位銷售價格、主要銷售對象，和預計市場份額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⑴生產能力及生產成本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⑵單位銷售價格、主要銷售對象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⑶預計計畫份額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3、產品的客戶情況，銷售管道的安排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⑴客戶情況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就客戶的情況進行說明。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⑵銷售管道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介紹銷售管道的安排情況。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4、目前市場競爭情況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⑴其他現有生產廠家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列舉出其他生產廠家的情況，以及最具有威脅性的地方。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⑵計畫新上的類似專案，替代產品的情況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列舉出這些廠家的類似專案，替代產品的具體情況，指出其對現在專案的潛在威脅。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類似產品進口的關稅和管制情況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6、影響產品市場的主要因素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就能夠影響產品市場的因素進行詳細的分析。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4" w:name="_Toc28396_WPSOffice_Level1"/>
      <w:r>
        <w:rPr>
          <w:rFonts w:hint="eastAsia" w:eastAsia="宋体"/>
        </w:rPr>
        <w:t>技術可行性、人員、原材料供應和環境</w:t>
      </w:r>
      <w:bookmarkEnd w:id="14"/>
      <w:r>
        <w:rPr>
          <w:rFonts w:hint="eastAsia" w:eastAsia="宋体"/>
        </w:rPr>
        <w:t xml:space="preserve"> </w:t>
      </w:r>
    </w:p>
    <w:p>
      <w:pPr>
        <w:numPr>
          <w:ilvl w:val="0"/>
          <w:numId w:val="3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專案計畫採用的生產工藝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3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與其他公司合作的安排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3、專案的人員培訓和關鍵技術的保證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⑴人員培訓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就人員培訓進行闡述。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⑵關鍵技術的保證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就關鍵技術的保證方面作出闡述。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4、當地的勞動力和基礎設施狀況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就通訊、交通、水源、能源和電力供應等方面進行詳細說明。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生產成本和費用的分類數據 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原材料供應的來源、價格、品質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計畫生產設施與原材料供應、市場、基礎設施的關係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2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計畫生產設施與規劃與現有同類生產設施的比較 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9、生產設施的環境因素和應對措施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numPr>
          <w:ilvl w:val="0"/>
          <w:numId w:val="1"/>
        </w:numPr>
        <w:ind w:left="0" w:leftChars="0" w:firstLine="0" w:firstLineChars="0"/>
        <w:rPr>
          <w:rFonts w:hint="eastAsia"/>
        </w:rPr>
      </w:pPr>
      <w:bookmarkStart w:id="15" w:name="_Toc31449_WPSOffice_Level1"/>
      <w:r>
        <w:rPr>
          <w:rFonts w:hint="eastAsia" w:eastAsia="宋体"/>
        </w:rPr>
        <w:t>投資預算、融資計畫和效益分析</w:t>
      </w:r>
      <w:bookmarkEnd w:id="15"/>
      <w:r>
        <w:rPr>
          <w:rFonts w:hint="eastAsia" w:eastAsia="宋体"/>
        </w:rPr>
        <w:t xml:space="preserve"> </w:t>
      </w:r>
    </w:p>
    <w:p>
      <w:pPr>
        <w:numPr>
          <w:ilvl w:val="0"/>
          <w:numId w:val="4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專案投資和資金安排</w:t>
      </w:r>
    </w:p>
    <w:p>
      <w:pPr>
        <w:numPr>
          <w:ilvl w:val="0"/>
          <w:numId w:val="0"/>
        </w:num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專案的資金結構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就股東的股本投入情況、股東貸款情況以及銀行融資數額進行闡述。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希望國際金融公司與銀團的參與方式，股本、貸款或兩者兼有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4、專案的財務預測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就生產、銷售、資本和負債、利潤、資金流動、效益的回報進行預測。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5、影響效益的主要因素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rPr>
          <w:rFonts w:hint="eastAsia"/>
        </w:rPr>
      </w:pPr>
      <w:bookmarkStart w:id="16" w:name="_Toc28978_WPSOffice_Level1"/>
      <w:r>
        <w:rPr>
          <w:rFonts w:hint="eastAsia" w:eastAsia="宋体"/>
        </w:rPr>
        <w:t>七、 政府支持、管理和審批</w:t>
      </w:r>
      <w:bookmarkEnd w:id="16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1、當地政府的產業政策和投資方向對專案的影響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  <w:lang w:val="en-US" w:eastAsia="zh-CN"/>
        </w:rPr>
        <w:t>2、</w:t>
      </w: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當地政府對該專案可以提供的鼓勵措施和支持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 xml:space="preserve"> </w:t>
      </w: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該專案對當地經濟的貢獻</w:t>
      </w:r>
    </w:p>
    <w:p>
      <w:pPr>
        <w:numPr>
          <w:ilvl w:val="0"/>
          <w:numId w:val="0"/>
        </w:numPr>
        <w:ind w:left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numPr>
          <w:ilvl w:val="0"/>
          <w:numId w:val="4"/>
        </w:numPr>
        <w:ind w:left="0" w:leftChars="0" w:firstLine="0" w:firstLineChars="0"/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該專案需經過的審批手續和時間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 </w:t>
      </w:r>
    </w:p>
    <w:p>
      <w:pPr>
        <w:pStyle w:val="2"/>
        <w:rPr>
          <w:rFonts w:hint="eastAsia"/>
        </w:rPr>
      </w:pPr>
      <w:bookmarkStart w:id="17" w:name="_Toc951_WPSOffice_Level1"/>
      <w:r>
        <w:rPr>
          <w:rFonts w:hint="eastAsia" w:eastAsia="宋体"/>
        </w:rPr>
        <w:t>八、 專案準備和進展的時間表</w:t>
      </w:r>
      <w:bookmarkEnd w:id="17"/>
      <w:r>
        <w:rPr>
          <w:rFonts w:hint="eastAsia" w:eastAsia="宋体"/>
        </w:rPr>
        <w:t xml:space="preserve"> 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1、進行專案分解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就專案的實際情況將專案分解成幾個比較小的模組。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2、里程碑事件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列出該專案可能經過的幾個里程碑情況。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3、時間安排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就專案的具體時間安排進行分配。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4、經費安排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就專案的每個週期以及分解情況進行經費的分配。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  <w:r>
        <w:rPr>
          <w:rFonts w:hint="eastAsia" w:eastAsia="宋体" w:asciiTheme="majorEastAsia" w:hAnsiTheme="majorEastAsia" w:cstheme="majorEastAsia"/>
          <w:b w:val="0"/>
          <w:bCs w:val="0"/>
          <w:kern w:val="0"/>
          <w:sz w:val="24"/>
          <w:szCs w:val="24"/>
        </w:rPr>
        <w:t>5、人員安排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在各個專案模組以及時間段的人員安排情況。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p>
      <w:pPr>
        <w:rPr>
          <w:rFonts w:hint="eastAsia"/>
          <w:b/>
          <w:bCs/>
        </w:rPr>
      </w:pPr>
      <w:bookmarkStart w:id="18" w:name="_Toc24489_WPSOffice_Level1"/>
      <w:r>
        <w:rPr>
          <w:rFonts w:hint="eastAsia" w:eastAsia="宋体"/>
          <w:b/>
          <w:bCs/>
        </w:rPr>
        <w:t>附件：</w:t>
      </w:r>
      <w:bookmarkEnd w:id="18"/>
    </w:p>
    <w:p>
      <w:pPr>
        <w:rPr>
          <w:rFonts w:hint="eastAsia" w:asciiTheme="majorEastAsia" w:hAnsiTheme="majorEastAsia" w:eastAsia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</w:pP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[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</w:rPr>
        <w:t>篇幅太長不適於放在正文中的內容、正文中干擾讀者使其偏離主題的部分要放在附件中。如：機構的詳細介紹、年報、財務與審計報告、名單、數據、圖表等。正文中要標明：詳細情況請見附錄A-1。</w:t>
      </w:r>
      <w:r>
        <w:rPr>
          <w:rFonts w:hint="eastAsia" w:eastAsia="宋体" w:asciiTheme="majorEastAsia" w:hAnsiTheme="majorEastAsia" w:cstheme="majorEastAsia"/>
          <w:b w:val="0"/>
          <w:bCs w:val="0"/>
          <w:i/>
          <w:iCs/>
          <w:kern w:val="0"/>
          <w:sz w:val="24"/>
          <w:szCs w:val="24"/>
          <w:lang w:val="en-US" w:eastAsia="zh-CN"/>
        </w:rPr>
        <w:t>]</w:t>
      </w:r>
    </w:p>
    <w:p>
      <w:pPr>
        <w:rPr>
          <w:rFonts w:hint="eastAsia" w:asciiTheme="majorEastAsia" w:hAnsiTheme="majorEastAsia" w:eastAsiaTheme="majorEastAsia" w:cstheme="majorEastAsia"/>
          <w:b w:val="0"/>
          <w:bCs w:val="0"/>
          <w:kern w:val="0"/>
          <w:sz w:val="24"/>
          <w:szCs w:val="24"/>
        </w:rPr>
      </w:pPr>
    </w:p>
    <w:sectPr>
      <w:footerReference r:id="rId4" w:type="default"/>
      <w:pgSz w:w="11906" w:h="16838"/>
      <w:pgMar w:top="1440" w:right="1800" w:bottom="1440" w:left="1800" w:header="851" w:footer="992" w:gutter="0"/>
      <w:pgNumType w:fmt="decimal" w:start="1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clear" w:pos="4153"/>
      </w:tabs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clear" w:pos="4153"/>
      </w:tabs>
      <w:jc w:val="center"/>
    </w:pPr>
    <w:r>
      <w:rPr>
        <w:sz w:val="18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4"/>
                            <w:rPr>
                              <w:rFonts w:hint="eastAsia" w:eastAsia="宋体"/>
                              <w:lang w:eastAsia="zh-CN"/>
                            </w:rPr>
                          </w:pP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eastAsia"/>
                              <w:lang w:eastAsia="zh-CN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5824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4"/>
                      <w:rPr>
                        <w:rFonts w:hint="eastAsia" w:eastAsia="宋体"/>
                        <w:lang w:eastAsia="zh-CN"/>
                      </w:rPr>
                    </w:pPr>
                    <w:r>
                      <w:rPr>
                        <w:rFonts w:hint="eastAsia"/>
                        <w:lang w:eastAsia="zh-CN"/>
                      </w:rPr>
                      <w:fldChar w:fldCharType="begin"/>
                    </w:r>
                    <w:r>
                      <w:rPr>
                        <w:rFonts w:hint="eastAsia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eastAsia"/>
                        <w:lang w:eastAsia="zh-CN"/>
                      </w:rPr>
                      <w:fldChar w:fldCharType="separate"/>
                    </w:r>
                    <w:r>
                      <w:rPr>
                        <w:rFonts w:hint="eastAsia"/>
                        <w:lang w:eastAsia="zh-CN"/>
                      </w:rPr>
                      <w:t>1</w:t>
                    </w:r>
                    <w:r>
                      <w:rPr>
                        <w:rFonts w:hint="eastAsia"/>
                        <w:lang w:eastAsia="zh-CN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ft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D2455159"/>
    <w:multiLevelType w:val="singleLevel"/>
    <w:tmpl w:val="D2455159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E0612314"/>
    <w:multiLevelType w:val="singleLevel"/>
    <w:tmpl w:val="E0612314"/>
    <w:lvl w:ilvl="0" w:tentative="0">
      <w:start w:val="1"/>
      <w:numFmt w:val="chineseCounting"/>
      <w:suff w:val="nothing"/>
      <w:lvlText w:val="%1、"/>
      <w:lvlJc w:val="left"/>
      <w:pPr>
        <w:ind w:left="0" w:firstLine="420"/>
      </w:pPr>
      <w:rPr>
        <w:rFonts w:hint="eastAsia"/>
      </w:rPr>
    </w:lvl>
  </w:abstractNum>
  <w:abstractNum w:abstractNumId="2">
    <w:nsid w:val="23FB2A24"/>
    <w:multiLevelType w:val="singleLevel"/>
    <w:tmpl w:val="23FB2A24"/>
    <w:lvl w:ilvl="0" w:tentative="0">
      <w:start w:val="5"/>
      <w:numFmt w:val="decimal"/>
      <w:suff w:val="nothing"/>
      <w:lvlText w:val="%1、"/>
      <w:lvlJc w:val="left"/>
    </w:lvl>
  </w:abstractNum>
  <w:abstractNum w:abstractNumId="3">
    <w:nsid w:val="3B2661C3"/>
    <w:multiLevelType w:val="singleLevel"/>
    <w:tmpl w:val="3B2661C3"/>
    <w:lvl w:ilvl="0" w:tentative="0">
      <w:start w:val="1"/>
      <w:numFmt w:val="decimal"/>
      <w:suff w:val="nothing"/>
      <w:lvlText w:val="%1、"/>
      <w:lvlJc w:val="left"/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46942B6"/>
    <w:rsid w:val="15633A1B"/>
    <w:rsid w:val="166E771B"/>
    <w:rsid w:val="191D003B"/>
    <w:rsid w:val="1A8D45F1"/>
    <w:rsid w:val="1AEC47EF"/>
    <w:rsid w:val="24D710CC"/>
    <w:rsid w:val="346942B6"/>
    <w:rsid w:val="37C94509"/>
    <w:rsid w:val="3C0D12A3"/>
    <w:rsid w:val="416C0E6E"/>
    <w:rsid w:val="48DD6576"/>
    <w:rsid w:val="4C380BAF"/>
    <w:rsid w:val="5CF3767A"/>
    <w:rsid w:val="62E00D2E"/>
    <w:rsid w:val="72DA61D1"/>
    <w:rsid w:val="7ADC7595"/>
    <w:rsid w:val="7EE61C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jc w:val="both"/>
    </w:pPr>
    <w:rPr>
      <w:rFonts w:ascii="Calibri" w:hAnsi="Calibri" w:eastAsia="宋体" w:cs="Times New Roman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link w:val="8"/>
    <w:qFormat/>
    <w:uiPriority w:val="0"/>
    <w:pPr>
      <w:keepNext/>
      <w:keepLines/>
      <w:adjustRightInd/>
      <w:snapToGrid/>
      <w:spacing w:before="100" w:beforeLines="0" w:beforeAutospacing="0" w:after="90" w:afterLines="0" w:afterAutospacing="0" w:line="360" w:lineRule="auto"/>
      <w:outlineLvl w:val="0"/>
    </w:pPr>
    <w:rPr>
      <w:b/>
      <w:kern w:val="44"/>
    </w:rPr>
  </w:style>
  <w:style w:type="paragraph" w:styleId="3">
    <w:name w:val="heading 2"/>
    <w:basedOn w:val="1"/>
    <w:next w:val="1"/>
    <w:link w:val="9"/>
    <w:semiHidden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character" w:default="1" w:styleId="6">
    <w:name w:val="Default Paragraph Font"/>
    <w:semiHidden/>
    <w:qFormat/>
    <w:uiPriority w:val="0"/>
  </w:style>
  <w:style w:type="table" w:default="1" w:styleId="7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character" w:customStyle="1" w:styleId="8">
    <w:name w:val="标题 1 Char"/>
    <w:link w:val="2"/>
    <w:qFormat/>
    <w:uiPriority w:val="0"/>
    <w:rPr>
      <w:rFonts w:eastAsia="宋体"/>
      <w:b/>
      <w:kern w:val="44"/>
      <w:sz w:val="24"/>
    </w:rPr>
  </w:style>
  <w:style w:type="character" w:customStyle="1" w:styleId="9">
    <w:name w:val="标题 2 Char"/>
    <w:link w:val="3"/>
    <w:qFormat/>
    <w:uiPriority w:val="0"/>
    <w:rPr>
      <w:rFonts w:ascii="Arial" w:hAnsi="Arial" w:eastAsia="黑体"/>
      <w:b/>
      <w:sz w:val="32"/>
    </w:rPr>
  </w:style>
  <w:style w:type="paragraph" w:customStyle="1" w:styleId="10">
    <w:name w:val="WPSOffice手动目录 1"/>
    <w:qFormat/>
    <w:uiPriority w:val="0"/>
    <w:pPr>
      <w:ind w:leftChars="0"/>
    </w:pPr>
    <w:rPr>
      <w:rFonts w:ascii="Calibri" w:hAnsi="Calibri" w:eastAsia="宋体" w:cs="Times New Roman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glossaryDocument" Target="glossary/document.xml"/><Relationship Id="rId8" Type="http://schemas.openxmlformats.org/officeDocument/2006/relationships/fontTable" Target="fontTable.xml"/><Relationship Id="rId7" Type="http://schemas.openxmlformats.org/officeDocument/2006/relationships/numbering" Target="numbering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bf184536-b3b7-488c-acbf-1489e324966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f184536-b3b7-488c-acbf-1489e324966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4d365fb-cf9f-4fec-900f-3b13aab951f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4d365fb-cf9f-4fec-900f-3b13aab951f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390708bd-2db3-4e99-8826-148375ace91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390708bd-2db3-4e99-8826-148375ace91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e7cc104-9976-4e15-9743-3b07b37150f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e7cc104-9976-4e15-9743-3b07b37150f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23a1649-4adc-4a47-9c3a-311697c39a1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23a1649-4adc-4a47-9c3a-311697c39a1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2c8eace-1e02-4aef-91b5-4a9b2a3933f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2c8eace-1e02-4aef-91b5-4a9b2a3933f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92214967-59ac-4fc1-a192-6897b37b3c7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92214967-59ac-4fc1-a192-6897b37b3c7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59dd6ec7-159c-4537-9c12-aba7ed7bb92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59dd6ec7-159c-4537-9c12-aba7ed7bb92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f8a0c434-0f9e-4ea3-b759-e3ce9db137c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f8a0c434-0f9e-4ea3-b759-e3ce9db137c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47</TotalTime>
  <ScaleCrop>false</ScaleCrop>
  <LinksUpToDate>false</LinksUpToDate>
  <CharactersWithSpaces>0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2018-08-29T08:23:00Z</dcterms:created>
  <dcterms:modified xsi:type="dcterms:W3CDTF">2018-11-29T03:39:12Z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