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CEMENTo12</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washingt</w:t>
      </w:r>
    </w:p>
    <w:p>
      <w:pPr>
        <w:spacing w:before="0" w:after="40" w:line="264" w:lineRule="auto"/>
        <w:jc w:val="center"/>
      </w:pPr>
      <w:r>
        <w:rPr>
          <w:b/>
        </w:rPr>
        <w:t xml:space="preserve">Teléfono: </w:t>
      </w:r>
      <w:r>
        <w:t xml:space="preserve">595950595   </w:t>
      </w:r>
    </w:p>
    <w:p>
      <w:pPr>
        <w:spacing w:before="0" w:after="40" w:line="264" w:lineRule="auto"/>
        <w:jc w:val="center"/>
      </w:pPr>
      <w:r>
        <w:rPr>
          <w:b/>
        </w:rPr>
        <w:t xml:space="preserve">Email: </w:t>
      </w:r>
      <w:r>
        <w:t>juan1@gmail.com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60 — manzana60</w:t>
            </w:r>
          </w:p>
        </w:tc>
        <w:tc>
          <w:tcPr>
            <w:tcW w:type="dxa" w:w="1728"/>
          </w:tcPr>
          <w:p>
            <w:r>
              <w:t>manzana60</w:t>
            </w:r>
          </w:p>
        </w:tc>
        <w:tc>
          <w:tcPr>
            <w:tcW w:type="dxa" w:w="1728"/>
          </w:tcPr>
          <w:p>
            <w:r>
              <w:t>F: 10  D: 10  I: 10  P: 10 (Área: 400 m²)</w:t>
            </w:r>
          </w:p>
        </w:tc>
        <w:tc>
          <w:tcPr>
            <w:tcW w:type="dxa" w:w="1728"/>
          </w:tcPr>
          <w:p>
            <w:r>
              <w:t>prueba</w:t>
            </w:r>
          </w:p>
        </w:tc>
        <w:tc>
          <w:tcPr>
            <w:tcW w:type="dxa" w:w="1728"/>
          </w:tcPr>
          <w:p>
            <w:r>
              <w:t>$ 9,000.00</w:t>
            </w:r>
          </w:p>
        </w:tc>
      </w:tr>
    </w:tbl>
    <w:p/>
    <w:p>
      <w:r>
        <w:rPr>
          <w:b/>
        </w:rPr>
        <w:t xml:space="preserve">TOTAL DEL CONTRATO: </w:t>
      </w:r>
      <w:r>
        <w:t>$ 9,000.00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CEMENTo12,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$ 9,000.00,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$ 9,000.00.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CEMENTo12,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