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Microsoft YaHei" w:hAnsi="Microsoft YaHei" w:eastAsia="Microsoft YaHei"/>
          <w:b/>
          <w:color w:val="0F172A"/>
          <w:sz w:val="36"/>
        </w:rPr>
        <w:t>设备处置时间链实现说明</w:t>
      </w:r>
    </w:p>
    <w:p>
      <w:pPr>
        <w:spacing w:after="200"/>
        <w:jc w:val="center"/>
      </w:pPr>
      <w:r>
        <w:rPr>
          <w:rFonts w:ascii="Microsoft YaHei" w:hAnsi="Microsoft YaHei" w:eastAsia="Microsoft YaHei"/>
          <w:color w:val="64748B"/>
          <w:sz w:val="21"/>
        </w:rPr>
        <w:t>飞行记录详情页 - 阶段语义、展示形态、状态规则与场景模板</w:t>
      </w:r>
    </w:p>
    <w:tbl>
      <w:tblGrid>
        <w:gridCol w:w="2100"/>
        <w:gridCol w:w="7260"/>
      </w:tblGrid>
      <w:tblPr>
        <w:tblStyle w:val="TableGrid"/>
        <w:tblW w:type="dxa" w:w="9360"/>
        <w:jc w:val="left"/>
        <w:tblLook w:firstColumn="1" w:firstRow="1" w:lastColumn="0" w:lastRow="0" w:noHBand="0" w:noVBand="1" w:val="04A0"/>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Pr>
      <w:tr>
        <w:tc>
          <w:tcPr>
            <w:tcW w:type="dxa" w:w="2100"/>
            <w:shd w:fill="F2F4F7"/>
            <w:vAlign w:val="center"/>
          </w:tcPr>
          <w:p>
            <w:pPr>
              <w:spacing w:after="0"/>
              <w:jc w:val="center"/>
            </w:pPr>
            <w:r/>
            <w:r>
              <w:rPr>
                <w:rFonts w:ascii="Microsoft YaHei" w:hAnsi="Microsoft YaHei" w:eastAsia="Microsoft YaHei"/>
                <w:b/>
                <w:color w:val="0F172A"/>
                <w:sz w:val="18"/>
              </w:rPr>
              <w:t>项目</w:t>
            </w:r>
          </w:p>
        </w:tc>
        <w:tc>
          <w:tcPr>
            <w:tcW w:type="dxa" w:w="7260"/>
            <w:shd w:fill="F2F4F7"/>
            <w:vAlign w:val="center"/>
          </w:tcPr>
          <w:p>
            <w:pPr>
              <w:spacing w:after="0"/>
              <w:jc w:val="center"/>
            </w:pPr>
            <w:r/>
            <w:r>
              <w:rPr>
                <w:rFonts w:ascii="Microsoft YaHei" w:hAnsi="Microsoft YaHei" w:eastAsia="Microsoft YaHei"/>
                <w:b/>
                <w:color w:val="0F172A"/>
                <w:sz w:val="18"/>
              </w:rPr>
              <w:t>说明</w:t>
            </w:r>
          </w:p>
        </w:tc>
      </w:tr>
      <w:tr>
        <w:tc>
          <w:tcPr>
            <w:tcW w:type="dxa" w:w="2100"/>
            <w:vAlign w:val="center"/>
          </w:tcPr>
          <w:p>
            <w:pPr>
              <w:spacing w:after="0"/>
              <w:jc w:val="left"/>
            </w:pPr>
            <w:r/>
            <w:r>
              <w:rPr>
                <w:rFonts w:ascii="Microsoft YaHei" w:hAnsi="Microsoft YaHei" w:eastAsia="Microsoft YaHei"/>
                <w:b w:val="0"/>
                <w:color w:val="1F2937"/>
                <w:sz w:val="18"/>
              </w:rPr>
              <w:t>适用模块</w:t>
            </w:r>
          </w:p>
        </w:tc>
        <w:tc>
          <w:tcPr>
            <w:tcW w:type="dxa" w:w="7260"/>
            <w:vAlign w:val="center"/>
          </w:tcPr>
          <w:p>
            <w:pPr>
              <w:spacing w:after="0"/>
              <w:jc w:val="left"/>
            </w:pPr>
            <w:r/>
            <w:r>
              <w:rPr>
                <w:rFonts w:ascii="Microsoft YaHei" w:hAnsi="Microsoft YaHei" w:eastAsia="Microsoft YaHei"/>
                <w:b w:val="0"/>
                <w:color w:val="1F2937"/>
                <w:sz w:val="18"/>
              </w:rPr>
              <w:t>历史事件 / 飞行记录详情 / 设备处置时间链</w:t>
            </w:r>
          </w:p>
        </w:tc>
      </w:tr>
      <w:tr>
        <w:tc>
          <w:tcPr>
            <w:tcW w:type="dxa" w:w="2100"/>
            <w:vAlign w:val="center"/>
          </w:tcPr>
          <w:p>
            <w:pPr>
              <w:spacing w:after="0"/>
              <w:jc w:val="left"/>
            </w:pPr>
            <w:r/>
            <w:r>
              <w:rPr>
                <w:rFonts w:ascii="Microsoft YaHei" w:hAnsi="Microsoft YaHei" w:eastAsia="Microsoft YaHei"/>
                <w:b w:val="0"/>
                <w:color w:val="1F2937"/>
                <w:sz w:val="18"/>
              </w:rPr>
              <w:t>文档用途</w:t>
            </w:r>
          </w:p>
        </w:tc>
        <w:tc>
          <w:tcPr>
            <w:tcW w:type="dxa" w:w="7260"/>
            <w:vAlign w:val="center"/>
          </w:tcPr>
          <w:p>
            <w:pPr>
              <w:spacing w:after="0"/>
              <w:jc w:val="left"/>
            </w:pPr>
            <w:r/>
            <w:r>
              <w:rPr>
                <w:rFonts w:ascii="Microsoft YaHei" w:hAnsi="Microsoft YaHei" w:eastAsia="Microsoft YaHei"/>
                <w:b w:val="0"/>
                <w:color w:val="1F2937"/>
                <w:sz w:val="18"/>
              </w:rPr>
              <w:t>用于产品确认、前端实现、脚本文案生成与演示数据维护</w:t>
            </w:r>
          </w:p>
        </w:tc>
      </w:tr>
      <w:tr>
        <w:tc>
          <w:tcPr>
            <w:tcW w:type="dxa" w:w="2100"/>
            <w:vAlign w:val="center"/>
          </w:tcPr>
          <w:p>
            <w:pPr>
              <w:spacing w:after="0"/>
              <w:jc w:val="left"/>
            </w:pPr>
            <w:r/>
            <w:r>
              <w:rPr>
                <w:rFonts w:ascii="Microsoft YaHei" w:hAnsi="Microsoft YaHei" w:eastAsia="Microsoft YaHei"/>
                <w:b w:val="0"/>
                <w:color w:val="1F2937"/>
                <w:sz w:val="18"/>
              </w:rPr>
              <w:t>阶段范围</w:t>
            </w:r>
          </w:p>
        </w:tc>
        <w:tc>
          <w:tcPr>
            <w:tcW w:type="dxa" w:w="7260"/>
            <w:vAlign w:val="center"/>
          </w:tcPr>
          <w:p>
            <w:pPr>
              <w:spacing w:after="0"/>
              <w:jc w:val="left"/>
            </w:pPr>
            <w:r/>
            <w:r>
              <w:rPr>
                <w:rFonts w:ascii="Microsoft YaHei" w:hAnsi="Microsoft YaHei" w:eastAsia="Microsoft YaHei"/>
                <w:b w:val="0"/>
                <w:color w:val="1F2937"/>
                <w:sz w:val="18"/>
              </w:rPr>
              <w:t>设备发现、威胁识别、威胁评估、处置执行、处置结果</w:t>
            </w:r>
          </w:p>
        </w:tc>
      </w:tr>
      <w:tr>
        <w:tc>
          <w:tcPr>
            <w:tcW w:type="dxa" w:w="2100"/>
            <w:vAlign w:val="center"/>
          </w:tcPr>
          <w:p>
            <w:pPr>
              <w:spacing w:after="0"/>
              <w:jc w:val="left"/>
            </w:pPr>
            <w:r/>
            <w:r>
              <w:rPr>
                <w:rFonts w:ascii="Microsoft YaHei" w:hAnsi="Microsoft YaHei" w:eastAsia="Microsoft YaHei"/>
                <w:b w:val="0"/>
                <w:color w:val="1F2937"/>
                <w:sz w:val="18"/>
              </w:rPr>
              <w:t>核心原则</w:t>
            </w:r>
          </w:p>
        </w:tc>
        <w:tc>
          <w:tcPr>
            <w:tcW w:type="dxa" w:w="7260"/>
            <w:vAlign w:val="center"/>
          </w:tcPr>
          <w:p>
            <w:pPr>
              <w:spacing w:after="0"/>
              <w:jc w:val="left"/>
            </w:pPr>
            <w:r/>
            <w:r>
              <w:rPr>
                <w:rFonts w:ascii="Microsoft YaHei" w:hAnsi="Microsoft YaHei" w:eastAsia="Microsoft YaHei"/>
                <w:b w:val="0"/>
                <w:color w:val="1F2937"/>
                <w:sz w:val="18"/>
              </w:rPr>
              <w:t>五个阶段作为标准模型保留；页面只展示已发生、正在发生或具有解释价值的未触发阶段</w:t>
            </w:r>
          </w:p>
        </w:tc>
      </w:tr>
    </w:tbl>
    <w:p/>
    <w:p>
      <w:pPr>
        <w:pStyle w:val="Heading1"/>
      </w:pPr>
      <w:r>
        <w:rPr>
          <w:rFonts w:ascii="Microsoft YaHei" w:hAnsi="Microsoft YaHei" w:eastAsia="Microsoft YaHei"/>
          <w:color w:val="2E74B5"/>
        </w:rPr>
        <w:t>一、设计目标与边界</w:t>
      </w:r>
    </w:p>
    <w:p>
      <w:pPr>
        <w:spacing w:after="120" w:line="300" w:lineRule="auto"/>
      </w:pPr>
      <w:r>
        <w:rPr>
          <w:rFonts w:ascii="Microsoft YaHei" w:hAnsi="Microsoft YaHei" w:eastAsia="Microsoft YaHei"/>
          <w:color w:val="1F2937"/>
          <w:sz w:val="21"/>
        </w:rPr>
        <w:t>设备处置时间链用于解释一条飞行记录从原始发现到最终闭环的过程依据。上方基本信息展示事件当前快照，时间链展示该快照形成的过程原因与阶段结论。</w:t>
      </w:r>
    </w:p>
    <w:p>
      <w:pPr>
        <w:pStyle w:val="ListBullet"/>
        <w:spacing w:after="60" w:line="300" w:lineRule="auto"/>
        <w:ind w:left="539" w:hanging="255"/>
      </w:pPr>
      <w:r>
        <w:rPr>
          <w:rFonts w:ascii="Microsoft YaHei" w:hAnsi="Microsoft YaHei" w:eastAsia="Microsoft YaHei"/>
          <w:color w:val="1F2937"/>
          <w:sz w:val="20"/>
        </w:rPr>
        <w:t>固定阶段：阶段名称与顺序固定为设备发现、威胁识别、威胁评估、处置执行、处置结果。</w:t>
      </w:r>
    </w:p>
    <w:p>
      <w:pPr>
        <w:pStyle w:val="ListBullet"/>
        <w:spacing w:after="60" w:line="300" w:lineRule="auto"/>
        <w:ind w:left="539" w:hanging="255"/>
      </w:pPr>
      <w:r>
        <w:rPr>
          <w:rFonts w:ascii="Microsoft YaHei" w:hAnsi="Microsoft YaHei" w:eastAsia="Microsoft YaHei"/>
          <w:color w:val="1F2937"/>
          <w:sz w:val="20"/>
        </w:rPr>
        <w:t>展示边界：不展示空节点；未开始阶段默认不展示；未触发阶段仅在具有业务解释价值时展示。</w:t>
      </w:r>
    </w:p>
    <w:p>
      <w:pPr>
        <w:pStyle w:val="ListBullet"/>
        <w:spacing w:after="60" w:line="300" w:lineRule="auto"/>
        <w:ind w:left="539" w:hanging="255"/>
      </w:pPr>
      <w:r>
        <w:rPr>
          <w:rFonts w:ascii="Microsoft YaHei" w:hAnsi="Microsoft YaHei" w:eastAsia="Microsoft YaHei"/>
          <w:color w:val="1F2937"/>
          <w:sz w:val="20"/>
        </w:rPr>
        <w:t>文案原则：所有提示文案由标准模板与结构化变量拼接生成，避免自由口语化描述。</w:t>
      </w:r>
    </w:p>
    <w:p>
      <w:pPr>
        <w:pStyle w:val="ListBullet"/>
        <w:spacing w:after="60" w:line="300" w:lineRule="auto"/>
        <w:ind w:left="539" w:hanging="255"/>
      </w:pPr>
      <w:r>
        <w:rPr>
          <w:rFonts w:ascii="Microsoft YaHei" w:hAnsi="Microsoft YaHei" w:eastAsia="Microsoft YaHei"/>
          <w:color w:val="1F2937"/>
          <w:sz w:val="20"/>
        </w:rPr>
        <w:t>冗余控制：时间链允许保留关键结论锚点，但不重复上方基本信息中的全量字段。</w:t>
      </w:r>
    </w:p>
    <w:p>
      <w:pPr>
        <w:pStyle w:val="Heading1"/>
      </w:pPr>
      <w:r>
        <w:rPr>
          <w:rFonts w:ascii="Microsoft YaHei" w:hAnsi="Microsoft YaHei" w:eastAsia="Microsoft YaHei"/>
          <w:color w:val="2E74B5"/>
        </w:rPr>
        <w:t>二、推荐呈现形式</w:t>
      </w:r>
    </w:p>
    <w:p>
      <w:pPr>
        <w:spacing w:after="120" w:line="300" w:lineRule="auto"/>
      </w:pPr>
      <w:r>
        <w:rPr>
          <w:rFonts w:ascii="Microsoft YaHei" w:hAnsi="Microsoft YaHei" w:eastAsia="Microsoft YaHei"/>
          <w:color w:val="1F2937"/>
          <w:sz w:val="21"/>
        </w:rPr>
        <w:t>飞行记录详情页推荐采用纵向时间线。该页面信息密度较高，纵向时间线更适合承载阶段摘要、详情字段与标签。横向步骤条可作为未来列表页或详情页顶部概览，但不建议替代详情页主体时间链。</w:t>
      </w:r>
    </w:p>
    <w:tbl>
      <w:tblGrid>
        <w:gridCol w:w="1700"/>
        <w:gridCol w:w="2300"/>
        <w:gridCol w:w="5360"/>
      </w:tblGrid>
      <w:tblPr>
        <w:tblStyle w:val="TableGrid"/>
        <w:tblW w:type="dxa" w:w="9360"/>
        <w:jc w:val="left"/>
        <w:tblLook w:firstColumn="1" w:firstRow="1" w:lastColumn="0" w:lastRow="0" w:noHBand="0" w:noVBand="1" w:val="04A0"/>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Pr>
      <w:tr>
        <w:tc>
          <w:tcPr>
            <w:tcW w:type="dxa" w:w="1700"/>
            <w:shd w:fill="E8EEF5"/>
            <w:vAlign w:val="center"/>
          </w:tcPr>
          <w:p>
            <w:pPr>
              <w:spacing w:after="0"/>
              <w:jc w:val="center"/>
            </w:pPr>
            <w:r/>
            <w:r>
              <w:rPr>
                <w:rFonts w:ascii="Microsoft YaHei" w:hAnsi="Microsoft YaHei" w:eastAsia="Microsoft YaHei"/>
                <w:b/>
                <w:color w:val="0F172A"/>
                <w:sz w:val="18"/>
              </w:rPr>
              <w:t>设计项</w:t>
            </w:r>
          </w:p>
        </w:tc>
        <w:tc>
          <w:tcPr>
            <w:tcW w:type="dxa" w:w="2300"/>
            <w:shd w:fill="E8EEF5"/>
            <w:vAlign w:val="center"/>
          </w:tcPr>
          <w:p>
            <w:pPr>
              <w:spacing w:after="0"/>
              <w:jc w:val="center"/>
            </w:pPr>
            <w:r/>
            <w:r>
              <w:rPr>
                <w:rFonts w:ascii="Microsoft YaHei" w:hAnsi="Microsoft YaHei" w:eastAsia="Microsoft YaHei"/>
                <w:b/>
                <w:color w:val="0F172A"/>
                <w:sz w:val="18"/>
              </w:rPr>
              <w:t>推荐方案</w:t>
            </w:r>
          </w:p>
        </w:tc>
        <w:tc>
          <w:tcPr>
            <w:tcW w:type="dxa" w:w="5360"/>
            <w:shd w:fill="E8EEF5"/>
            <w:vAlign w:val="center"/>
          </w:tcPr>
          <w:p>
            <w:pPr>
              <w:spacing w:after="0"/>
              <w:jc w:val="center"/>
            </w:pPr>
            <w:r/>
            <w:r>
              <w:rPr>
                <w:rFonts w:ascii="Microsoft YaHei" w:hAnsi="Microsoft YaHei" w:eastAsia="Microsoft YaHei"/>
                <w:b/>
                <w:color w:val="0F172A"/>
                <w:sz w:val="18"/>
              </w:rPr>
              <w:t>说明</w:t>
            </w:r>
          </w:p>
        </w:tc>
      </w:tr>
      <w:tr>
        <w:tc>
          <w:tcPr>
            <w:tcW w:type="dxa" w:w="1700"/>
            <w:vAlign w:val="center"/>
          </w:tcPr>
          <w:p>
            <w:pPr>
              <w:spacing w:after="0"/>
              <w:jc w:val="left"/>
            </w:pPr>
            <w:r/>
            <w:r>
              <w:rPr>
                <w:rFonts w:ascii="Microsoft YaHei" w:hAnsi="Microsoft YaHei" w:eastAsia="Microsoft YaHei"/>
                <w:b w:val="0"/>
                <w:color w:val="1F2937"/>
                <w:sz w:val="18"/>
              </w:rPr>
              <w:t>方向</w:t>
            </w:r>
          </w:p>
        </w:tc>
        <w:tc>
          <w:tcPr>
            <w:tcW w:type="dxa" w:w="2300"/>
            <w:vAlign w:val="center"/>
          </w:tcPr>
          <w:p>
            <w:pPr>
              <w:spacing w:after="0"/>
              <w:jc w:val="left"/>
            </w:pPr>
            <w:r/>
            <w:r>
              <w:rPr>
                <w:rFonts w:ascii="Microsoft YaHei" w:hAnsi="Microsoft YaHei" w:eastAsia="Microsoft YaHei"/>
                <w:b w:val="0"/>
                <w:color w:val="1F2937"/>
                <w:sz w:val="18"/>
              </w:rPr>
              <w:t>纵向时间线</w:t>
            </w:r>
          </w:p>
        </w:tc>
        <w:tc>
          <w:tcPr>
            <w:tcW w:type="dxa" w:w="5360"/>
            <w:vAlign w:val="center"/>
          </w:tcPr>
          <w:p>
            <w:pPr>
              <w:spacing w:after="0"/>
              <w:jc w:val="left"/>
            </w:pPr>
            <w:r/>
            <w:r>
              <w:rPr>
                <w:rFonts w:ascii="Microsoft YaHei" w:hAnsi="Microsoft YaHei" w:eastAsia="Microsoft YaHei"/>
                <w:b w:val="0"/>
                <w:color w:val="1F2937"/>
                <w:sz w:val="18"/>
              </w:rPr>
              <w:t>适合不等长内容，便于展示跳过、未触发、进行中等差异状态。</w:t>
            </w:r>
          </w:p>
        </w:tc>
      </w:tr>
      <w:tr>
        <w:tc>
          <w:tcPr>
            <w:tcW w:type="dxa" w:w="1700"/>
            <w:vAlign w:val="center"/>
          </w:tcPr>
          <w:p>
            <w:pPr>
              <w:spacing w:after="0"/>
              <w:jc w:val="left"/>
            </w:pPr>
            <w:r/>
            <w:r>
              <w:rPr>
                <w:rFonts w:ascii="Microsoft YaHei" w:hAnsi="Microsoft YaHei" w:eastAsia="Microsoft YaHei"/>
                <w:b w:val="0"/>
                <w:color w:val="1F2937"/>
                <w:sz w:val="18"/>
              </w:rPr>
              <w:t>阶段卡片</w:t>
            </w:r>
          </w:p>
        </w:tc>
        <w:tc>
          <w:tcPr>
            <w:tcW w:type="dxa" w:w="2300"/>
            <w:vAlign w:val="center"/>
          </w:tcPr>
          <w:p>
            <w:pPr>
              <w:spacing w:after="0"/>
              <w:jc w:val="left"/>
            </w:pPr>
            <w:r/>
            <w:r>
              <w:rPr>
                <w:rFonts w:ascii="Microsoft YaHei" w:hAnsi="Microsoft YaHei" w:eastAsia="Microsoft YaHei"/>
                <w:b w:val="0"/>
                <w:color w:val="1F2937"/>
                <w:sz w:val="18"/>
              </w:rPr>
              <w:t>标题 + 时间 + 状态标签 + 概要 + 详情 + 业务标签</w:t>
            </w:r>
          </w:p>
        </w:tc>
        <w:tc>
          <w:tcPr>
            <w:tcW w:type="dxa" w:w="5360"/>
            <w:vAlign w:val="center"/>
          </w:tcPr>
          <w:p>
            <w:pPr>
              <w:spacing w:after="0"/>
              <w:jc w:val="left"/>
            </w:pPr>
            <w:r/>
            <w:r>
              <w:rPr>
                <w:rFonts w:ascii="Microsoft YaHei" w:hAnsi="Microsoft YaHei" w:eastAsia="Microsoft YaHei"/>
                <w:b w:val="0"/>
                <w:color w:val="1F2937"/>
                <w:sz w:val="18"/>
              </w:rPr>
              <w:t>保持每个阶段结构一致，便于脚本生成。</w:t>
            </w:r>
          </w:p>
        </w:tc>
      </w:tr>
      <w:tr>
        <w:tc>
          <w:tcPr>
            <w:tcW w:type="dxa" w:w="1700"/>
            <w:vAlign w:val="center"/>
          </w:tcPr>
          <w:p>
            <w:pPr>
              <w:spacing w:after="0"/>
              <w:jc w:val="left"/>
            </w:pPr>
            <w:r/>
            <w:r>
              <w:rPr>
                <w:rFonts w:ascii="Microsoft YaHei" w:hAnsi="Microsoft YaHei" w:eastAsia="Microsoft YaHei"/>
                <w:b w:val="0"/>
                <w:color w:val="1F2937"/>
                <w:sz w:val="18"/>
              </w:rPr>
              <w:t>状态标签</w:t>
            </w:r>
          </w:p>
        </w:tc>
        <w:tc>
          <w:tcPr>
            <w:tcW w:type="dxa" w:w="2300"/>
            <w:vAlign w:val="center"/>
          </w:tcPr>
          <w:p>
            <w:pPr>
              <w:spacing w:after="0"/>
              <w:jc w:val="left"/>
            </w:pPr>
            <w:r/>
            <w:r>
              <w:rPr>
                <w:rFonts w:ascii="Microsoft YaHei" w:hAnsi="Microsoft YaHei" w:eastAsia="Microsoft YaHei"/>
                <w:b w:val="0"/>
                <w:color w:val="1F2937"/>
                <w:sz w:val="18"/>
              </w:rPr>
              <w:t>已完成 / 进行中 / 未触发 / 未开始</w:t>
            </w:r>
          </w:p>
        </w:tc>
        <w:tc>
          <w:tcPr>
            <w:tcW w:type="dxa" w:w="5360"/>
            <w:vAlign w:val="center"/>
          </w:tcPr>
          <w:p>
            <w:pPr>
              <w:spacing w:after="0"/>
              <w:jc w:val="left"/>
            </w:pPr>
            <w:r/>
            <w:r>
              <w:rPr>
                <w:rFonts w:ascii="Microsoft YaHei" w:hAnsi="Microsoft YaHei" w:eastAsia="Microsoft YaHei"/>
                <w:b w:val="0"/>
                <w:color w:val="1F2937"/>
                <w:sz w:val="18"/>
              </w:rPr>
              <w:t>标签用于阶段执行状态，不承担业务结论本身。</w:t>
            </w:r>
          </w:p>
        </w:tc>
      </w:tr>
      <w:tr>
        <w:tc>
          <w:tcPr>
            <w:tcW w:type="dxa" w:w="1700"/>
            <w:vAlign w:val="center"/>
          </w:tcPr>
          <w:p>
            <w:pPr>
              <w:spacing w:after="0"/>
              <w:jc w:val="left"/>
            </w:pPr>
            <w:r/>
            <w:r>
              <w:rPr>
                <w:rFonts w:ascii="Microsoft YaHei" w:hAnsi="Microsoft YaHei" w:eastAsia="Microsoft YaHei"/>
                <w:b w:val="0"/>
                <w:color w:val="1F2937"/>
                <w:sz w:val="18"/>
              </w:rPr>
              <w:t>业务标签</w:t>
            </w:r>
          </w:p>
        </w:tc>
        <w:tc>
          <w:tcPr>
            <w:tcW w:type="dxa" w:w="2300"/>
            <w:vAlign w:val="center"/>
          </w:tcPr>
          <w:p>
            <w:pPr>
              <w:spacing w:after="0"/>
              <w:jc w:val="left"/>
            </w:pPr>
            <w:r/>
            <w:r>
              <w:rPr>
                <w:rFonts w:ascii="Microsoft YaHei" w:hAnsi="Microsoft YaHei" w:eastAsia="Microsoft YaHei"/>
                <w:b w:val="0"/>
                <w:color w:val="1F2937"/>
                <w:sz w:val="18"/>
              </w:rPr>
              <w:t>来源、身份、风险、处置、结果</w:t>
            </w:r>
          </w:p>
        </w:tc>
        <w:tc>
          <w:tcPr>
            <w:tcW w:type="dxa" w:w="5360"/>
            <w:vAlign w:val="center"/>
          </w:tcPr>
          <w:p>
            <w:pPr>
              <w:spacing w:after="0"/>
              <w:jc w:val="left"/>
            </w:pPr>
            <w:r/>
            <w:r>
              <w:rPr>
                <w:rFonts w:ascii="Microsoft YaHei" w:hAnsi="Microsoft YaHei" w:eastAsia="Microsoft YaHei"/>
                <w:b w:val="0"/>
                <w:color w:val="1F2937"/>
                <w:sz w:val="18"/>
              </w:rPr>
              <w:t>由字段脚本派生，例如雷达、黑名单、高风险、未触发预案。</w:t>
            </w:r>
          </w:p>
        </w:tc>
      </w:tr>
      <w:tr>
        <w:tc>
          <w:tcPr>
            <w:tcW w:type="dxa" w:w="1700"/>
            <w:vAlign w:val="center"/>
          </w:tcPr>
          <w:p>
            <w:pPr>
              <w:spacing w:after="0"/>
              <w:jc w:val="left"/>
            </w:pPr>
            <w:r/>
            <w:r>
              <w:rPr>
                <w:rFonts w:ascii="Microsoft YaHei" w:hAnsi="Microsoft YaHei" w:eastAsia="Microsoft YaHei"/>
                <w:b w:val="0"/>
                <w:color w:val="1F2937"/>
                <w:sz w:val="18"/>
              </w:rPr>
              <w:t>未开始节点</w:t>
            </w:r>
          </w:p>
        </w:tc>
        <w:tc>
          <w:tcPr>
            <w:tcW w:type="dxa" w:w="2300"/>
            <w:vAlign w:val="center"/>
          </w:tcPr>
          <w:p>
            <w:pPr>
              <w:spacing w:after="0"/>
              <w:jc w:val="left"/>
            </w:pPr>
            <w:r/>
            <w:r>
              <w:rPr>
                <w:rFonts w:ascii="Microsoft YaHei" w:hAnsi="Microsoft YaHei" w:eastAsia="Microsoft YaHei"/>
                <w:b w:val="0"/>
                <w:color w:val="1F2937"/>
                <w:sz w:val="18"/>
              </w:rPr>
              <w:t>默认隐藏</w:t>
            </w:r>
          </w:p>
        </w:tc>
        <w:tc>
          <w:tcPr>
            <w:tcW w:type="dxa" w:w="5360"/>
            <w:vAlign w:val="center"/>
          </w:tcPr>
          <w:p>
            <w:pPr>
              <w:spacing w:after="0"/>
              <w:jc w:val="left"/>
            </w:pPr>
            <w:r/>
            <w:r>
              <w:rPr>
                <w:rFonts w:ascii="Microsoft YaHei" w:hAnsi="Microsoft YaHei" w:eastAsia="Microsoft YaHei"/>
                <w:b w:val="0"/>
                <w:color w:val="1F2937"/>
                <w:sz w:val="18"/>
              </w:rPr>
              <w:t>详情页面向既有事件记录，隐藏未发生内容可减少误解。</w:t>
            </w:r>
          </w:p>
        </w:tc>
      </w:tr>
      <w:tr>
        <w:tc>
          <w:tcPr>
            <w:tcW w:type="dxa" w:w="1700"/>
            <w:vAlign w:val="center"/>
          </w:tcPr>
          <w:p>
            <w:pPr>
              <w:spacing w:after="0"/>
              <w:jc w:val="left"/>
            </w:pPr>
            <w:r/>
            <w:r>
              <w:rPr>
                <w:rFonts w:ascii="Microsoft YaHei" w:hAnsi="Microsoft YaHei" w:eastAsia="Microsoft YaHei"/>
                <w:b w:val="0"/>
                <w:color w:val="1F2937"/>
                <w:sz w:val="18"/>
              </w:rPr>
              <w:t>未触发节点</w:t>
            </w:r>
          </w:p>
        </w:tc>
        <w:tc>
          <w:tcPr>
            <w:tcW w:type="dxa" w:w="2300"/>
            <w:vAlign w:val="center"/>
          </w:tcPr>
          <w:p>
            <w:pPr>
              <w:spacing w:after="0"/>
              <w:jc w:val="left"/>
            </w:pPr>
            <w:r/>
            <w:r>
              <w:rPr>
                <w:rFonts w:ascii="Microsoft YaHei" w:hAnsi="Microsoft YaHei" w:eastAsia="Microsoft YaHei"/>
                <w:b w:val="0"/>
                <w:color w:val="1F2937"/>
                <w:sz w:val="18"/>
              </w:rPr>
              <w:t>可展示为轻量节点</w:t>
            </w:r>
          </w:p>
        </w:tc>
        <w:tc>
          <w:tcPr>
            <w:tcW w:type="dxa" w:w="5360"/>
            <w:vAlign w:val="center"/>
          </w:tcPr>
          <w:p>
            <w:pPr>
              <w:spacing w:after="0"/>
              <w:jc w:val="left"/>
            </w:pPr>
            <w:r/>
            <w:r>
              <w:rPr>
                <w:rFonts w:ascii="Microsoft YaHei" w:hAnsi="Microsoft YaHei" w:eastAsia="Microsoft YaHei"/>
                <w:b w:val="0"/>
                <w:color w:val="1F2937"/>
                <w:sz w:val="18"/>
              </w:rPr>
              <w:t>例如飞鸟扰动、白名单低风险、未命中预案等，需要解释为什么没有反制。</w:t>
            </w:r>
          </w:p>
        </w:tc>
      </w:tr>
    </w:tbl>
    <w:p/>
    <w:p>
      <w:pPr>
        <w:pStyle w:val="Heading1"/>
      </w:pPr>
      <w:r>
        <w:rPr>
          <w:rFonts w:ascii="Microsoft YaHei" w:hAnsi="Microsoft YaHei" w:eastAsia="Microsoft YaHei"/>
          <w:color w:val="2E74B5"/>
        </w:rPr>
        <w:t>三、统一数据结构建议</w:t>
      </w:r>
    </w:p>
    <w:p>
      <w:pPr>
        <w:spacing w:after="120" w:line="300" w:lineRule="auto"/>
      </w:pPr>
      <w:r>
        <w:rPr>
          <w:rFonts w:ascii="Microsoft YaHei" w:hAnsi="Microsoft YaHei" w:eastAsia="Microsoft YaHei"/>
          <w:color w:val="1F2937"/>
          <w:sz w:val="21"/>
        </w:rPr>
        <w:t>前端组件建议只接收结构化时间链节点，所有文案生成、状态判定、标签派生放在构建函数中完成。</w:t>
      </w:r>
    </w:p>
    <w:tbl>
      <w:tblGrid>
        <w:gridCol w:w="9360"/>
      </w:tblGrid>
      <w:tblPr>
        <w:tblW w:type="dxa" w:w="9360"/>
        <w:jc w:val="left"/>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type="dxa" w:w="9360"/>
            <w:shd w:fill="F8FAFC"/>
          </w:tcPr>
          <w:p>
            <w:pPr>
              <w:spacing w:after="0"/>
            </w:pPr>
            <w:r/>
            <w:r>
              <w:rPr>
                <w:rFonts w:ascii="Consolas" w:hAnsi="Consolas" w:eastAsia="Microsoft YaHei"/>
                <w:color w:val="334155"/>
                <w:sz w:val="17"/>
              </w:rPr>
              <w:t>type TimelineStageStatus = 'completed' | 'processing' | 'skipped' | 'pending'</w:t>
              <w:br/>
              <w:br/>
              <w:t>type TimelineStage = {</w:t>
              <w:br/>
              <w:t xml:space="preserve">  stageCode: 'discovery' | 'identification' | 'assessment' | 'disposal' | 'result'</w:t>
              <w:br/>
              <w:t xml:space="preserve">  stageName: string</w:t>
              <w:br/>
              <w:t xml:space="preserve">  timestamp: string | null</w:t>
              <w:br/>
              <w:t xml:space="preserve">  status: TimelineStageStatus</w:t>
              <w:br/>
              <w:t xml:space="preserve">  summary: string</w:t>
              <w:br/>
              <w:t xml:space="preserve">  details: Array&lt;{ label: string; value: string }&gt;</w:t>
              <w:br/>
              <w:t xml:space="preserve">  tags: string[]</w:t>
              <w:br/>
              <w:t xml:space="preserve">  source: string</w:t>
              <w:br/>
              <w:t xml:space="preserve">  visible: boolean</w:t>
              <w:br/>
              <w:t>}</w:t>
            </w:r>
          </w:p>
        </w:tc>
      </w:tr>
    </w:tbl>
    <w:p/>
    <w:p>
      <w:pPr>
        <w:pStyle w:val="Heading1"/>
      </w:pPr>
      <w:r>
        <w:rPr>
          <w:rFonts w:ascii="Microsoft YaHei" w:hAnsi="Microsoft YaHei" w:eastAsia="Microsoft YaHei"/>
          <w:color w:val="2E74B5"/>
        </w:rPr>
        <w:t>四、阶段语义与展示字段</w:t>
      </w:r>
    </w:p>
    <w:tbl>
      <w:tblGrid>
        <w:gridCol w:w="1500"/>
        <w:gridCol w:w="2350"/>
        <w:gridCol w:w="2750"/>
        <w:gridCol w:w="2760"/>
      </w:tblGrid>
      <w:tblPr>
        <w:tblStyle w:val="TableGrid"/>
        <w:tblW w:type="dxa" w:w="9360"/>
        <w:jc w:val="left"/>
        <w:tblLook w:firstColumn="1" w:firstRow="1" w:lastColumn="0" w:lastRow="0" w:noHBand="0" w:noVBand="1" w:val="04A0"/>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Pr>
      <w:tr>
        <w:tc>
          <w:tcPr>
            <w:tcW w:type="dxa" w:w="1500"/>
            <w:shd w:fill="E8EEF5"/>
            <w:vAlign w:val="center"/>
          </w:tcPr>
          <w:p>
            <w:pPr>
              <w:spacing w:after="0"/>
              <w:jc w:val="center"/>
            </w:pPr>
            <w:r/>
            <w:r>
              <w:rPr>
                <w:rFonts w:ascii="Microsoft YaHei" w:hAnsi="Microsoft YaHei" w:eastAsia="Microsoft YaHei"/>
                <w:b/>
                <w:color w:val="0F172A"/>
                <w:sz w:val="17"/>
              </w:rPr>
              <w:t>阶段</w:t>
            </w:r>
          </w:p>
        </w:tc>
        <w:tc>
          <w:tcPr>
            <w:tcW w:type="dxa" w:w="2350"/>
            <w:shd w:fill="E8EEF5"/>
            <w:vAlign w:val="center"/>
          </w:tcPr>
          <w:p>
            <w:pPr>
              <w:spacing w:after="0"/>
              <w:jc w:val="center"/>
            </w:pPr>
            <w:r/>
            <w:r>
              <w:rPr>
                <w:rFonts w:ascii="Microsoft YaHei" w:hAnsi="Microsoft YaHei" w:eastAsia="Microsoft YaHei"/>
                <w:b/>
                <w:color w:val="0F172A"/>
                <w:sz w:val="17"/>
              </w:rPr>
              <w:t>业务含义</w:t>
            </w:r>
          </w:p>
        </w:tc>
        <w:tc>
          <w:tcPr>
            <w:tcW w:type="dxa" w:w="2750"/>
            <w:shd w:fill="E8EEF5"/>
            <w:vAlign w:val="center"/>
          </w:tcPr>
          <w:p>
            <w:pPr>
              <w:spacing w:after="0"/>
              <w:jc w:val="center"/>
            </w:pPr>
            <w:r/>
            <w:r>
              <w:rPr>
                <w:rFonts w:ascii="Microsoft YaHei" w:hAnsi="Microsoft YaHei" w:eastAsia="Microsoft YaHei"/>
                <w:b/>
                <w:color w:val="0F172A"/>
                <w:sz w:val="17"/>
              </w:rPr>
              <w:t>推荐展示字段</w:t>
            </w:r>
          </w:p>
        </w:tc>
        <w:tc>
          <w:tcPr>
            <w:tcW w:type="dxa" w:w="2760"/>
            <w:shd w:fill="E8EEF5"/>
            <w:vAlign w:val="center"/>
          </w:tcPr>
          <w:p>
            <w:pPr>
              <w:spacing w:after="0"/>
              <w:jc w:val="center"/>
            </w:pPr>
            <w:r/>
            <w:r>
              <w:rPr>
                <w:rFonts w:ascii="Microsoft YaHei" w:hAnsi="Microsoft YaHei" w:eastAsia="Microsoft YaHei"/>
                <w:b/>
                <w:color w:val="0F172A"/>
                <w:sz w:val="17"/>
              </w:rPr>
              <w:t>概要模板</w:t>
            </w:r>
          </w:p>
        </w:tc>
      </w:tr>
      <w:tr>
        <w:tc>
          <w:tcPr>
            <w:tcW w:type="dxa" w:w="1500"/>
            <w:vAlign w:val="center"/>
          </w:tcPr>
          <w:p>
            <w:pPr>
              <w:spacing w:after="0"/>
              <w:jc w:val="left"/>
            </w:pPr>
            <w:r/>
            <w:r>
              <w:rPr>
                <w:rFonts w:ascii="Microsoft YaHei" w:hAnsi="Microsoft YaHei" w:eastAsia="Microsoft YaHei"/>
                <w:b w:val="0"/>
                <w:color w:val="1F2937"/>
                <w:sz w:val="17"/>
              </w:rPr>
              <w:t>设备发现</w:t>
            </w:r>
          </w:p>
        </w:tc>
        <w:tc>
          <w:tcPr>
            <w:tcW w:type="dxa" w:w="2350"/>
            <w:vAlign w:val="center"/>
          </w:tcPr>
          <w:p>
            <w:pPr>
              <w:spacing w:after="0"/>
              <w:jc w:val="left"/>
            </w:pPr>
            <w:r/>
            <w:r>
              <w:rPr>
                <w:rFonts w:ascii="Microsoft YaHei" w:hAnsi="Microsoft YaHei" w:eastAsia="Microsoft YaHei"/>
                <w:b w:val="0"/>
                <w:color w:val="1F2937"/>
                <w:sz w:val="17"/>
              </w:rPr>
              <w:t>展示原始探测事实，不输出身份判断。</w:t>
            </w:r>
          </w:p>
        </w:tc>
        <w:tc>
          <w:tcPr>
            <w:tcW w:type="dxa" w:w="2750"/>
            <w:vAlign w:val="center"/>
          </w:tcPr>
          <w:p>
            <w:pPr>
              <w:spacing w:after="0"/>
              <w:jc w:val="left"/>
            </w:pPr>
            <w:r/>
            <w:r>
              <w:rPr>
                <w:rFonts w:ascii="Microsoft YaHei" w:hAnsi="Microsoft YaHei" w:eastAsia="Microsoft YaHei"/>
                <w:b w:val="0"/>
                <w:color w:val="1F2937"/>
                <w:sz w:val="17"/>
              </w:rPr>
              <w:t>发现时间、发现设备、设备类型、原始位置、频段/频率、速度/高度、数据来源。</w:t>
            </w:r>
          </w:p>
        </w:tc>
        <w:tc>
          <w:tcPr>
            <w:tcW w:type="dxa" w:w="2760"/>
            <w:vAlign w:val="center"/>
          </w:tcPr>
          <w:p>
            <w:pPr>
              <w:spacing w:after="0"/>
              <w:jc w:val="left"/>
            </w:pPr>
            <w:r/>
            <w:r>
              <w:rPr>
                <w:rFonts w:ascii="Microsoft YaHei" w:hAnsi="Microsoft YaHei" w:eastAsia="Microsoft YaHei"/>
                <w:b w:val="0"/>
                <w:color w:val="1F2937"/>
                <w:sz w:val="17"/>
              </w:rPr>
              <w:t>[{time}] {deviceNames}发现疑似低空目标，已形成原始探测记录。</w:t>
            </w:r>
          </w:p>
        </w:tc>
      </w:tr>
      <w:tr>
        <w:tc>
          <w:tcPr>
            <w:tcW w:type="dxa" w:w="1500"/>
            <w:vAlign w:val="center"/>
          </w:tcPr>
          <w:p>
            <w:pPr>
              <w:spacing w:after="0"/>
              <w:jc w:val="left"/>
            </w:pPr>
            <w:r/>
            <w:r>
              <w:rPr>
                <w:rFonts w:ascii="Microsoft YaHei" w:hAnsi="Microsoft YaHei" w:eastAsia="Microsoft YaHei"/>
                <w:b w:val="0"/>
                <w:color w:val="1F2937"/>
                <w:sz w:val="17"/>
              </w:rPr>
              <w:t>威胁识别</w:t>
            </w:r>
          </w:p>
        </w:tc>
        <w:tc>
          <w:tcPr>
            <w:tcW w:type="dxa" w:w="2350"/>
            <w:vAlign w:val="center"/>
          </w:tcPr>
          <w:p>
            <w:pPr>
              <w:spacing w:after="0"/>
              <w:jc w:val="left"/>
            </w:pPr>
            <w:r/>
            <w:r>
              <w:rPr>
                <w:rFonts w:ascii="Microsoft YaHei" w:hAnsi="Microsoft YaHei" w:eastAsia="Microsoft YaHei"/>
                <w:b w:val="0"/>
                <w:color w:val="1F2937"/>
                <w:sz w:val="17"/>
              </w:rPr>
              <w:t>基于多源融合识别目标身份和类型。</w:t>
            </w:r>
          </w:p>
        </w:tc>
        <w:tc>
          <w:tcPr>
            <w:tcW w:type="dxa" w:w="2750"/>
            <w:vAlign w:val="center"/>
          </w:tcPr>
          <w:p>
            <w:pPr>
              <w:spacing w:after="0"/>
              <w:jc w:val="left"/>
            </w:pPr>
            <w:r/>
            <w:r>
              <w:rPr>
                <w:rFonts w:ascii="Microsoft YaHei" w:hAnsi="Microsoft YaHei" w:eastAsia="Microsoft YaHei"/>
                <w:b w:val="0"/>
                <w:color w:val="1F2937"/>
                <w:sz w:val="17"/>
              </w:rPr>
              <w:t>目标类型、合作属性、名单属性、品牌型号、识别码、置信度、人工核查结论。</w:t>
            </w:r>
          </w:p>
        </w:tc>
        <w:tc>
          <w:tcPr>
            <w:tcW w:type="dxa" w:w="2760"/>
            <w:vAlign w:val="center"/>
          </w:tcPr>
          <w:p>
            <w:pPr>
              <w:spacing w:after="0"/>
              <w:jc w:val="left"/>
            </w:pPr>
            <w:r/>
            <w:r>
              <w:rPr>
                <w:rFonts w:ascii="Microsoft YaHei" w:hAnsi="Microsoft YaHei" w:eastAsia="Microsoft YaHei"/>
                <w:b w:val="0"/>
                <w:color w:val="1F2937"/>
                <w:sz w:val="17"/>
              </w:rPr>
              <w:t>[{time}] 完成目标识别，判定为{targetType}，身份属性为{identityLabel}。</w:t>
            </w:r>
          </w:p>
        </w:tc>
      </w:tr>
      <w:tr>
        <w:tc>
          <w:tcPr>
            <w:tcW w:type="dxa" w:w="1500"/>
            <w:vAlign w:val="center"/>
          </w:tcPr>
          <w:p>
            <w:pPr>
              <w:spacing w:after="0"/>
              <w:jc w:val="left"/>
            </w:pPr>
            <w:r/>
            <w:r>
              <w:rPr>
                <w:rFonts w:ascii="Microsoft YaHei" w:hAnsi="Microsoft YaHei" w:eastAsia="Microsoft YaHei"/>
                <w:b w:val="0"/>
                <w:color w:val="1F2937"/>
                <w:sz w:val="17"/>
              </w:rPr>
              <w:t>威胁评估</w:t>
            </w:r>
          </w:p>
        </w:tc>
        <w:tc>
          <w:tcPr>
            <w:tcW w:type="dxa" w:w="2350"/>
            <w:vAlign w:val="center"/>
          </w:tcPr>
          <w:p>
            <w:pPr>
              <w:spacing w:after="0"/>
              <w:jc w:val="left"/>
            </w:pPr>
            <w:r/>
            <w:r>
              <w:rPr>
                <w:rFonts w:ascii="Microsoft YaHei" w:hAnsi="Microsoft YaHei" w:eastAsia="Microsoft YaHei"/>
                <w:b w:val="0"/>
                <w:color w:val="1F2937"/>
                <w:sz w:val="17"/>
              </w:rPr>
              <w:t>根据威胁评估模块规则输出威胁等级。</w:t>
            </w:r>
          </w:p>
        </w:tc>
        <w:tc>
          <w:tcPr>
            <w:tcW w:type="dxa" w:w="2750"/>
            <w:vAlign w:val="center"/>
          </w:tcPr>
          <w:p>
            <w:pPr>
              <w:spacing w:after="0"/>
              <w:jc w:val="left"/>
            </w:pPr>
            <w:r/>
            <w:r>
              <w:rPr>
                <w:rFonts w:ascii="Microsoft YaHei" w:hAnsi="Microsoft YaHei" w:eastAsia="Microsoft YaHei"/>
                <w:b w:val="0"/>
                <w:color w:val="1F2937"/>
                <w:sz w:val="17"/>
              </w:rPr>
              <w:t>威胁等级、命中规则、评估依据、所在区域、规则版本。</w:t>
            </w:r>
          </w:p>
        </w:tc>
        <w:tc>
          <w:tcPr>
            <w:tcW w:type="dxa" w:w="2760"/>
            <w:vAlign w:val="center"/>
          </w:tcPr>
          <w:p>
            <w:pPr>
              <w:spacing w:after="0"/>
              <w:jc w:val="left"/>
            </w:pPr>
            <w:r/>
            <w:r>
              <w:rPr>
                <w:rFonts w:ascii="Microsoft YaHei" w:hAnsi="Microsoft YaHei" w:eastAsia="Microsoft YaHei"/>
                <w:b w:val="0"/>
                <w:color w:val="1F2937"/>
                <w:sz w:val="17"/>
              </w:rPr>
              <w:t>[{time}] 根据威胁评估规则，目标命中{ruleCount}项条件，评估结果为{threatLevel}。</w:t>
            </w:r>
          </w:p>
        </w:tc>
      </w:tr>
      <w:tr>
        <w:tc>
          <w:tcPr>
            <w:tcW w:type="dxa" w:w="1500"/>
            <w:vAlign w:val="center"/>
          </w:tcPr>
          <w:p>
            <w:pPr>
              <w:spacing w:after="0"/>
              <w:jc w:val="left"/>
            </w:pPr>
            <w:r/>
            <w:r>
              <w:rPr>
                <w:rFonts w:ascii="Microsoft YaHei" w:hAnsi="Microsoft YaHei" w:eastAsia="Microsoft YaHei"/>
                <w:b w:val="0"/>
                <w:color w:val="1F2937"/>
                <w:sz w:val="17"/>
              </w:rPr>
              <w:t>处置执行</w:t>
            </w:r>
          </w:p>
        </w:tc>
        <w:tc>
          <w:tcPr>
            <w:tcW w:type="dxa" w:w="2350"/>
            <w:vAlign w:val="center"/>
          </w:tcPr>
          <w:p>
            <w:pPr>
              <w:spacing w:after="0"/>
              <w:jc w:val="left"/>
            </w:pPr>
            <w:r/>
            <w:r>
              <w:rPr>
                <w:rFonts w:ascii="Microsoft YaHei" w:hAnsi="Microsoft YaHei" w:eastAsia="Microsoft YaHei"/>
                <w:b w:val="0"/>
                <w:color w:val="1F2937"/>
                <w:sz w:val="17"/>
              </w:rPr>
              <w:t>展示预案策略触发和反制设备动作，不承担最终结果。</w:t>
            </w:r>
          </w:p>
        </w:tc>
        <w:tc>
          <w:tcPr>
            <w:tcW w:type="dxa" w:w="2750"/>
            <w:vAlign w:val="center"/>
          </w:tcPr>
          <w:p>
            <w:pPr>
              <w:spacing w:after="0"/>
              <w:jc w:val="left"/>
            </w:pPr>
            <w:r/>
            <w:r>
              <w:rPr>
                <w:rFonts w:ascii="Microsoft YaHei" w:hAnsi="Microsoft YaHei" w:eastAsia="Microsoft YaHei"/>
                <w:b w:val="0"/>
                <w:color w:val="1F2937"/>
                <w:sz w:val="17"/>
              </w:rPr>
              <w:t>策略名称、触发条件、联动设备、执行动作、执行方式、指令状态。</w:t>
            </w:r>
          </w:p>
        </w:tc>
        <w:tc>
          <w:tcPr>
            <w:tcW w:type="dxa" w:w="2760"/>
            <w:vAlign w:val="center"/>
          </w:tcPr>
          <w:p>
            <w:pPr>
              <w:spacing w:after="0"/>
              <w:jc w:val="left"/>
            </w:pPr>
            <w:r/>
            <w:r>
              <w:rPr>
                <w:rFonts w:ascii="Microsoft YaHei" w:hAnsi="Microsoft YaHei" w:eastAsia="Microsoft YaHei"/>
                <w:b w:val="0"/>
                <w:color w:val="1F2937"/>
                <w:sz w:val="17"/>
              </w:rPr>
              <w:t>[{time}] 命中预案策略“{planName}”，已联动{deviceCount}台反制设备执行{actionName}。</w:t>
            </w:r>
          </w:p>
        </w:tc>
      </w:tr>
      <w:tr>
        <w:tc>
          <w:tcPr>
            <w:tcW w:type="dxa" w:w="1500"/>
            <w:vAlign w:val="center"/>
          </w:tcPr>
          <w:p>
            <w:pPr>
              <w:spacing w:after="0"/>
              <w:jc w:val="left"/>
            </w:pPr>
            <w:r/>
            <w:r>
              <w:rPr>
                <w:rFonts w:ascii="Microsoft YaHei" w:hAnsi="Microsoft YaHei" w:eastAsia="Microsoft YaHei"/>
                <w:b w:val="0"/>
                <w:color w:val="1F2937"/>
                <w:sz w:val="17"/>
              </w:rPr>
              <w:t>处置结果</w:t>
            </w:r>
          </w:p>
        </w:tc>
        <w:tc>
          <w:tcPr>
            <w:tcW w:type="dxa" w:w="2350"/>
            <w:vAlign w:val="center"/>
          </w:tcPr>
          <w:p>
            <w:pPr>
              <w:spacing w:after="0"/>
              <w:jc w:val="left"/>
            </w:pPr>
            <w:r/>
            <w:r>
              <w:rPr>
                <w:rFonts w:ascii="Microsoft YaHei" w:hAnsi="Microsoft YaHei" w:eastAsia="Microsoft YaHei"/>
                <w:b w:val="0"/>
                <w:color w:val="1F2937"/>
                <w:sz w:val="17"/>
              </w:rPr>
              <w:t>展示事件闭环结论与最终总结。</w:t>
            </w:r>
          </w:p>
        </w:tc>
        <w:tc>
          <w:tcPr>
            <w:tcW w:type="dxa" w:w="2750"/>
            <w:vAlign w:val="center"/>
          </w:tcPr>
          <w:p>
            <w:pPr>
              <w:spacing w:after="0"/>
              <w:jc w:val="left"/>
            </w:pPr>
            <w:r/>
            <w:r>
              <w:rPr>
                <w:rFonts w:ascii="Microsoft YaHei" w:hAnsi="Microsoft YaHei" w:eastAsia="Microsoft YaHei"/>
                <w:b w:val="0"/>
                <w:color w:val="1F2937"/>
                <w:sz w:val="17"/>
              </w:rPr>
              <w:t>处置状态、最终结果、结束原因、人工核查、结果说明。</w:t>
            </w:r>
          </w:p>
        </w:tc>
        <w:tc>
          <w:tcPr>
            <w:tcW w:type="dxa" w:w="2760"/>
            <w:vAlign w:val="center"/>
          </w:tcPr>
          <w:p>
            <w:pPr>
              <w:spacing w:after="0"/>
              <w:jc w:val="left"/>
            </w:pPr>
            <w:r/>
            <w:r>
              <w:rPr>
                <w:rFonts w:ascii="Microsoft YaHei" w:hAnsi="Microsoft YaHei" w:eastAsia="Microsoft YaHei"/>
                <w:b w:val="0"/>
                <w:color w:val="1F2937"/>
                <w:sz w:val="17"/>
              </w:rPr>
              <w:t>[{time}] 事件已闭环，最终结果为{resultLabel}。</w:t>
            </w:r>
          </w:p>
        </w:tc>
      </w:tr>
    </w:tbl>
    <w:p/>
    <w:p>
      <w:pPr>
        <w:pStyle w:val="Heading1"/>
      </w:pPr>
      <w:r>
        <w:rPr>
          <w:rFonts w:ascii="Microsoft YaHei" w:hAnsi="Microsoft YaHei" w:eastAsia="Microsoft YaHei"/>
          <w:color w:val="2E74B5"/>
        </w:rPr>
        <w:t>五、状态与可见性规则</w:t>
      </w:r>
    </w:p>
    <w:tbl>
      <w:tblGrid>
        <w:gridCol w:w="1500"/>
        <w:gridCol w:w="1500"/>
        <w:gridCol w:w="3500"/>
        <w:gridCol w:w="2860"/>
      </w:tblGrid>
      <w:tblPr>
        <w:tblStyle w:val="TableGrid"/>
        <w:tblW w:type="dxa" w:w="9360"/>
        <w:jc w:val="left"/>
        <w:tblLook w:firstColumn="1" w:firstRow="1" w:lastColumn="0" w:lastRow="0" w:noHBand="0" w:noVBand="1" w:val="04A0"/>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Pr>
      <w:tr>
        <w:tc>
          <w:tcPr>
            <w:tcW w:type="dxa" w:w="1500"/>
            <w:shd w:fill="E8EEF5"/>
            <w:vAlign w:val="center"/>
          </w:tcPr>
          <w:p>
            <w:pPr>
              <w:spacing w:after="0"/>
              <w:jc w:val="center"/>
            </w:pPr>
            <w:r/>
            <w:r>
              <w:rPr>
                <w:rFonts w:ascii="Microsoft YaHei" w:hAnsi="Microsoft YaHei" w:eastAsia="Microsoft YaHei"/>
                <w:b/>
                <w:color w:val="0F172A"/>
                <w:sz w:val="18"/>
              </w:rPr>
              <w:t>状态</w:t>
            </w:r>
          </w:p>
        </w:tc>
        <w:tc>
          <w:tcPr>
            <w:tcW w:type="dxa" w:w="1500"/>
            <w:shd w:fill="E8EEF5"/>
            <w:vAlign w:val="center"/>
          </w:tcPr>
          <w:p>
            <w:pPr>
              <w:spacing w:after="0"/>
              <w:jc w:val="center"/>
            </w:pPr>
            <w:r/>
            <w:r>
              <w:rPr>
                <w:rFonts w:ascii="Microsoft YaHei" w:hAnsi="Microsoft YaHei" w:eastAsia="Microsoft YaHei"/>
                <w:b/>
                <w:color w:val="0F172A"/>
                <w:sz w:val="18"/>
              </w:rPr>
              <w:t>页面文案</w:t>
            </w:r>
          </w:p>
        </w:tc>
        <w:tc>
          <w:tcPr>
            <w:tcW w:type="dxa" w:w="3500"/>
            <w:shd w:fill="E8EEF5"/>
            <w:vAlign w:val="center"/>
          </w:tcPr>
          <w:p>
            <w:pPr>
              <w:spacing w:after="0"/>
              <w:jc w:val="center"/>
            </w:pPr>
            <w:r/>
            <w:r>
              <w:rPr>
                <w:rFonts w:ascii="Microsoft YaHei" w:hAnsi="Microsoft YaHei" w:eastAsia="Microsoft YaHei"/>
                <w:b/>
                <w:color w:val="0F172A"/>
                <w:sz w:val="18"/>
              </w:rPr>
              <w:t>触发条件</w:t>
            </w:r>
          </w:p>
        </w:tc>
        <w:tc>
          <w:tcPr>
            <w:tcW w:type="dxa" w:w="2860"/>
            <w:shd w:fill="E8EEF5"/>
            <w:vAlign w:val="center"/>
          </w:tcPr>
          <w:p>
            <w:pPr>
              <w:spacing w:after="0"/>
              <w:jc w:val="center"/>
            </w:pPr>
            <w:r/>
            <w:r>
              <w:rPr>
                <w:rFonts w:ascii="Microsoft YaHei" w:hAnsi="Microsoft YaHei" w:eastAsia="Microsoft YaHei"/>
                <w:b/>
                <w:color w:val="0F172A"/>
                <w:sz w:val="18"/>
              </w:rPr>
              <w:t>展示规则</w:t>
            </w:r>
          </w:p>
        </w:tc>
      </w:tr>
      <w:tr>
        <w:tc>
          <w:tcPr>
            <w:tcW w:type="dxa" w:w="1500"/>
            <w:vAlign w:val="center"/>
          </w:tcPr>
          <w:p>
            <w:pPr>
              <w:spacing w:after="0"/>
              <w:jc w:val="left"/>
            </w:pPr>
            <w:r/>
            <w:r>
              <w:rPr>
                <w:rFonts w:ascii="Microsoft YaHei" w:hAnsi="Microsoft YaHei" w:eastAsia="Microsoft YaHei"/>
                <w:b w:val="0"/>
                <w:color w:val="1F2937"/>
                <w:sz w:val="18"/>
              </w:rPr>
              <w:t>completed</w:t>
            </w:r>
          </w:p>
        </w:tc>
        <w:tc>
          <w:tcPr>
            <w:tcW w:type="dxa" w:w="1500"/>
            <w:vAlign w:val="center"/>
          </w:tcPr>
          <w:p>
            <w:pPr>
              <w:spacing w:after="0"/>
              <w:jc w:val="left"/>
            </w:pPr>
            <w:r/>
            <w:r>
              <w:rPr>
                <w:rFonts w:ascii="Microsoft YaHei" w:hAnsi="Microsoft YaHei" w:eastAsia="Microsoft YaHei"/>
                <w:b w:val="0"/>
                <w:color w:val="1F2937"/>
                <w:sz w:val="18"/>
              </w:rPr>
              <w:t>已完成</w:t>
            </w:r>
          </w:p>
        </w:tc>
        <w:tc>
          <w:tcPr>
            <w:tcW w:type="dxa" w:w="3500"/>
            <w:vAlign w:val="center"/>
          </w:tcPr>
          <w:p>
            <w:pPr>
              <w:spacing w:after="0"/>
              <w:jc w:val="left"/>
            </w:pPr>
            <w:r/>
            <w:r>
              <w:rPr>
                <w:rFonts w:ascii="Microsoft YaHei" w:hAnsi="Microsoft YaHei" w:eastAsia="Microsoft YaHei"/>
                <w:b w:val="0"/>
                <w:color w:val="1F2937"/>
                <w:sz w:val="18"/>
              </w:rPr>
              <w:t>阶段已发生并产生结构化结论。</w:t>
            </w:r>
          </w:p>
        </w:tc>
        <w:tc>
          <w:tcPr>
            <w:tcW w:type="dxa" w:w="2860"/>
            <w:vAlign w:val="center"/>
          </w:tcPr>
          <w:p>
            <w:pPr>
              <w:spacing w:after="0"/>
              <w:jc w:val="left"/>
            </w:pPr>
            <w:r/>
            <w:r>
              <w:rPr>
                <w:rFonts w:ascii="Microsoft YaHei" w:hAnsi="Microsoft YaHei" w:eastAsia="Microsoft YaHei"/>
                <w:b w:val="0"/>
                <w:color w:val="1F2937"/>
                <w:sz w:val="18"/>
              </w:rPr>
              <w:t>正常展示完整节点。</w:t>
            </w:r>
          </w:p>
        </w:tc>
      </w:tr>
      <w:tr>
        <w:tc>
          <w:tcPr>
            <w:tcW w:type="dxa" w:w="1500"/>
            <w:vAlign w:val="center"/>
          </w:tcPr>
          <w:p>
            <w:pPr>
              <w:spacing w:after="0"/>
              <w:jc w:val="left"/>
            </w:pPr>
            <w:r/>
            <w:r>
              <w:rPr>
                <w:rFonts w:ascii="Microsoft YaHei" w:hAnsi="Microsoft YaHei" w:eastAsia="Microsoft YaHei"/>
                <w:b w:val="0"/>
                <w:color w:val="1F2937"/>
                <w:sz w:val="18"/>
              </w:rPr>
              <w:t>processing</w:t>
            </w:r>
          </w:p>
        </w:tc>
        <w:tc>
          <w:tcPr>
            <w:tcW w:type="dxa" w:w="1500"/>
            <w:vAlign w:val="center"/>
          </w:tcPr>
          <w:p>
            <w:pPr>
              <w:spacing w:after="0"/>
              <w:jc w:val="left"/>
            </w:pPr>
            <w:r/>
            <w:r>
              <w:rPr>
                <w:rFonts w:ascii="Microsoft YaHei" w:hAnsi="Microsoft YaHei" w:eastAsia="Microsoft YaHei"/>
                <w:b w:val="0"/>
                <w:color w:val="1F2937"/>
                <w:sz w:val="18"/>
              </w:rPr>
              <w:t>进行中</w:t>
            </w:r>
          </w:p>
        </w:tc>
        <w:tc>
          <w:tcPr>
            <w:tcW w:type="dxa" w:w="3500"/>
            <w:vAlign w:val="center"/>
          </w:tcPr>
          <w:p>
            <w:pPr>
              <w:spacing w:after="0"/>
              <w:jc w:val="left"/>
            </w:pPr>
            <w:r/>
            <w:r>
              <w:rPr>
                <w:rFonts w:ascii="Microsoft YaHei" w:hAnsi="Microsoft YaHei" w:eastAsia="Microsoft YaHei"/>
                <w:b w:val="0"/>
                <w:color w:val="1F2937"/>
                <w:sz w:val="18"/>
              </w:rPr>
              <w:t>前置阶段已完成，本阶段正在执行或等待回传。</w:t>
            </w:r>
          </w:p>
        </w:tc>
        <w:tc>
          <w:tcPr>
            <w:tcW w:type="dxa" w:w="2860"/>
            <w:vAlign w:val="center"/>
          </w:tcPr>
          <w:p>
            <w:pPr>
              <w:spacing w:after="0"/>
              <w:jc w:val="left"/>
            </w:pPr>
            <w:r/>
            <w:r>
              <w:rPr>
                <w:rFonts w:ascii="Microsoft YaHei" w:hAnsi="Microsoft YaHei" w:eastAsia="Microsoft YaHei"/>
                <w:b w:val="0"/>
                <w:color w:val="1F2937"/>
                <w:sz w:val="18"/>
              </w:rPr>
              <w:t>展示当前节点，后续 pending 节点隐藏。</w:t>
            </w:r>
          </w:p>
        </w:tc>
      </w:tr>
      <w:tr>
        <w:tc>
          <w:tcPr>
            <w:tcW w:type="dxa" w:w="1500"/>
            <w:vAlign w:val="center"/>
          </w:tcPr>
          <w:p>
            <w:pPr>
              <w:spacing w:after="0"/>
              <w:jc w:val="left"/>
            </w:pPr>
            <w:r/>
            <w:r>
              <w:rPr>
                <w:rFonts w:ascii="Microsoft YaHei" w:hAnsi="Microsoft YaHei" w:eastAsia="Microsoft YaHei"/>
                <w:b w:val="0"/>
                <w:color w:val="1F2937"/>
                <w:sz w:val="18"/>
              </w:rPr>
              <w:t>skipped</w:t>
            </w:r>
          </w:p>
        </w:tc>
        <w:tc>
          <w:tcPr>
            <w:tcW w:type="dxa" w:w="1500"/>
            <w:vAlign w:val="center"/>
          </w:tcPr>
          <w:p>
            <w:pPr>
              <w:spacing w:after="0"/>
              <w:jc w:val="left"/>
            </w:pPr>
            <w:r/>
            <w:r>
              <w:rPr>
                <w:rFonts w:ascii="Microsoft YaHei" w:hAnsi="Microsoft YaHei" w:eastAsia="Microsoft YaHei"/>
                <w:b w:val="0"/>
                <w:color w:val="1F2937"/>
                <w:sz w:val="18"/>
              </w:rPr>
              <w:t>未触发</w:t>
            </w:r>
          </w:p>
        </w:tc>
        <w:tc>
          <w:tcPr>
            <w:tcW w:type="dxa" w:w="3500"/>
            <w:vAlign w:val="center"/>
          </w:tcPr>
          <w:p>
            <w:pPr>
              <w:spacing w:after="0"/>
              <w:jc w:val="left"/>
            </w:pPr>
            <w:r/>
            <w:r>
              <w:rPr>
                <w:rFonts w:ascii="Microsoft YaHei" w:hAnsi="Microsoft YaHei" w:eastAsia="Microsoft YaHei"/>
                <w:b w:val="0"/>
                <w:color w:val="1F2937"/>
                <w:sz w:val="18"/>
              </w:rPr>
              <w:t>阶段不适用或未命中策略，但该事实需要解释。</w:t>
            </w:r>
          </w:p>
        </w:tc>
        <w:tc>
          <w:tcPr>
            <w:tcW w:type="dxa" w:w="2860"/>
            <w:vAlign w:val="center"/>
          </w:tcPr>
          <w:p>
            <w:pPr>
              <w:spacing w:after="0"/>
              <w:jc w:val="left"/>
            </w:pPr>
            <w:r/>
            <w:r>
              <w:rPr>
                <w:rFonts w:ascii="Microsoft YaHei" w:hAnsi="Microsoft YaHei" w:eastAsia="Microsoft YaHei"/>
                <w:b w:val="0"/>
                <w:color w:val="1F2937"/>
                <w:sz w:val="18"/>
              </w:rPr>
              <w:t>展示轻量节点，摘要必须说明未触发原因。</w:t>
            </w:r>
          </w:p>
        </w:tc>
      </w:tr>
      <w:tr>
        <w:tc>
          <w:tcPr>
            <w:tcW w:type="dxa" w:w="1500"/>
            <w:vAlign w:val="center"/>
          </w:tcPr>
          <w:p>
            <w:pPr>
              <w:spacing w:after="0"/>
              <w:jc w:val="left"/>
            </w:pPr>
            <w:r/>
            <w:r>
              <w:rPr>
                <w:rFonts w:ascii="Microsoft YaHei" w:hAnsi="Microsoft YaHei" w:eastAsia="Microsoft YaHei"/>
                <w:b w:val="0"/>
                <w:color w:val="1F2937"/>
                <w:sz w:val="18"/>
              </w:rPr>
              <w:t>pending</w:t>
            </w:r>
          </w:p>
        </w:tc>
        <w:tc>
          <w:tcPr>
            <w:tcW w:type="dxa" w:w="1500"/>
            <w:vAlign w:val="center"/>
          </w:tcPr>
          <w:p>
            <w:pPr>
              <w:spacing w:after="0"/>
              <w:jc w:val="left"/>
            </w:pPr>
            <w:r/>
            <w:r>
              <w:rPr>
                <w:rFonts w:ascii="Microsoft YaHei" w:hAnsi="Microsoft YaHei" w:eastAsia="Microsoft YaHei"/>
                <w:b w:val="0"/>
                <w:color w:val="1F2937"/>
                <w:sz w:val="18"/>
              </w:rPr>
              <w:t>未开始</w:t>
            </w:r>
          </w:p>
        </w:tc>
        <w:tc>
          <w:tcPr>
            <w:tcW w:type="dxa" w:w="3500"/>
            <w:vAlign w:val="center"/>
          </w:tcPr>
          <w:p>
            <w:pPr>
              <w:spacing w:after="0"/>
              <w:jc w:val="left"/>
            </w:pPr>
            <w:r/>
            <w:r>
              <w:rPr>
                <w:rFonts w:ascii="Microsoft YaHei" w:hAnsi="Microsoft YaHei" w:eastAsia="Microsoft YaHei"/>
                <w:b w:val="0"/>
                <w:color w:val="1F2937"/>
                <w:sz w:val="18"/>
              </w:rPr>
              <w:t>前置阶段尚未完成，阶段未发生。</w:t>
            </w:r>
          </w:p>
        </w:tc>
        <w:tc>
          <w:tcPr>
            <w:tcW w:type="dxa" w:w="2860"/>
            <w:vAlign w:val="center"/>
          </w:tcPr>
          <w:p>
            <w:pPr>
              <w:spacing w:after="0"/>
              <w:jc w:val="left"/>
            </w:pPr>
            <w:r/>
            <w:r>
              <w:rPr>
                <w:rFonts w:ascii="Microsoft YaHei" w:hAnsi="Microsoft YaHei" w:eastAsia="Microsoft YaHei"/>
                <w:b w:val="0"/>
                <w:color w:val="1F2937"/>
                <w:sz w:val="18"/>
              </w:rPr>
              <w:t>详情页默认隐藏，不作为空节点展示。</w:t>
            </w:r>
          </w:p>
        </w:tc>
      </w:tr>
    </w:tbl>
    <w:p/>
    <w:p>
      <w:pPr>
        <w:spacing w:after="120" w:line="300" w:lineRule="auto"/>
      </w:pPr>
      <w:r>
        <w:rPr>
          <w:rFonts w:ascii="Microsoft YaHei" w:hAnsi="Microsoft YaHei" w:eastAsia="Microsoft YaHei"/>
          <w:color w:val="1F2937"/>
          <w:sz w:val="21"/>
        </w:rPr>
        <w:t>处置执行阶段是否展示取决于业务解释价值：已触发反制时完整展示；未命中预案但需要说明原因时展示为“未触发”；仅因流程未走到此处时隐藏。</w:t>
      </w:r>
    </w:p>
    <w:p>
      <w:pPr>
        <w:pStyle w:val="Heading1"/>
      </w:pPr>
      <w:r>
        <w:rPr>
          <w:rFonts w:ascii="Microsoft YaHei" w:hAnsi="Microsoft YaHei" w:eastAsia="Microsoft YaHei"/>
          <w:color w:val="2E74B5"/>
        </w:rPr>
        <w:t>六、提示文案构成规则</w:t>
      </w:r>
    </w:p>
    <w:p>
      <w:pPr>
        <w:spacing w:after="120" w:line="300" w:lineRule="auto"/>
      </w:pPr>
      <w:r>
        <w:rPr>
          <w:rFonts w:ascii="Microsoft YaHei" w:hAnsi="Microsoft YaHei" w:eastAsia="Microsoft YaHei"/>
          <w:color w:val="1F2937"/>
          <w:sz w:val="21"/>
        </w:rPr>
        <w:t>提示文案由“固定句式 + 可替换变量”组成。变量必须来自事件记录、设备记录、识别结果、评估规则或预案策略，不建议在页面组件中临时拼接自由文案。</w:t>
      </w:r>
    </w:p>
    <w:tbl>
      <w:tblGrid>
        <w:gridCol w:w="1700"/>
        <w:gridCol w:w="3200"/>
        <w:gridCol w:w="4460"/>
      </w:tblGrid>
      <w:tblPr>
        <w:tblStyle w:val="TableGrid"/>
        <w:tblW w:type="dxa" w:w="9360"/>
        <w:jc w:val="left"/>
        <w:tblLook w:firstColumn="1" w:firstRow="1" w:lastColumn="0" w:lastRow="0" w:noHBand="0" w:noVBand="1" w:val="04A0"/>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Pr>
      <w:tr>
        <w:tc>
          <w:tcPr>
            <w:tcW w:type="dxa" w:w="1700"/>
            <w:shd w:fill="E8EEF5"/>
            <w:vAlign w:val="center"/>
          </w:tcPr>
          <w:p>
            <w:pPr>
              <w:spacing w:after="0"/>
              <w:jc w:val="center"/>
            </w:pPr>
            <w:r/>
            <w:r>
              <w:rPr>
                <w:rFonts w:ascii="Microsoft YaHei" w:hAnsi="Microsoft YaHei" w:eastAsia="Microsoft YaHei"/>
                <w:b/>
                <w:color w:val="0F172A"/>
                <w:sz w:val="18"/>
              </w:rPr>
              <w:t>文案类型</w:t>
            </w:r>
          </w:p>
        </w:tc>
        <w:tc>
          <w:tcPr>
            <w:tcW w:type="dxa" w:w="3200"/>
            <w:shd w:fill="E8EEF5"/>
            <w:vAlign w:val="center"/>
          </w:tcPr>
          <w:p>
            <w:pPr>
              <w:spacing w:after="0"/>
              <w:jc w:val="center"/>
            </w:pPr>
            <w:r/>
            <w:r>
              <w:rPr>
                <w:rFonts w:ascii="Microsoft YaHei" w:hAnsi="Microsoft YaHei" w:eastAsia="Microsoft YaHei"/>
                <w:b/>
                <w:color w:val="0F172A"/>
                <w:sz w:val="18"/>
              </w:rPr>
              <w:t>固定构成</w:t>
            </w:r>
          </w:p>
        </w:tc>
        <w:tc>
          <w:tcPr>
            <w:tcW w:type="dxa" w:w="4460"/>
            <w:shd w:fill="E8EEF5"/>
            <w:vAlign w:val="center"/>
          </w:tcPr>
          <w:p>
            <w:pPr>
              <w:spacing w:after="0"/>
              <w:jc w:val="center"/>
            </w:pPr>
            <w:r/>
            <w:r>
              <w:rPr>
                <w:rFonts w:ascii="Microsoft YaHei" w:hAnsi="Microsoft YaHei" w:eastAsia="Microsoft YaHei"/>
                <w:b/>
                <w:color w:val="0F172A"/>
                <w:sz w:val="18"/>
              </w:rPr>
              <w:t>可替换变量</w:t>
            </w:r>
          </w:p>
        </w:tc>
      </w:tr>
      <w:tr>
        <w:tc>
          <w:tcPr>
            <w:tcW w:type="dxa" w:w="1700"/>
            <w:vAlign w:val="center"/>
          </w:tcPr>
          <w:p>
            <w:pPr>
              <w:spacing w:after="0"/>
              <w:jc w:val="left"/>
            </w:pPr>
            <w:r/>
            <w:r>
              <w:rPr>
                <w:rFonts w:ascii="Microsoft YaHei" w:hAnsi="Microsoft YaHei" w:eastAsia="Microsoft YaHei"/>
                <w:b w:val="0"/>
                <w:color w:val="1F2937"/>
                <w:sz w:val="18"/>
              </w:rPr>
              <w:t>阶段概要</w:t>
            </w:r>
          </w:p>
        </w:tc>
        <w:tc>
          <w:tcPr>
            <w:tcW w:type="dxa" w:w="3200"/>
            <w:vAlign w:val="center"/>
          </w:tcPr>
          <w:p>
            <w:pPr>
              <w:spacing w:after="0"/>
              <w:jc w:val="left"/>
            </w:pPr>
            <w:r/>
            <w:r>
              <w:rPr>
                <w:rFonts w:ascii="Microsoft YaHei" w:hAnsi="Microsoft YaHei" w:eastAsia="Microsoft YaHei"/>
                <w:b w:val="0"/>
                <w:color w:val="1F2937"/>
                <w:sz w:val="18"/>
              </w:rPr>
              <w:t>时间 + 阶段动作 + 核心结论</w:t>
            </w:r>
          </w:p>
        </w:tc>
        <w:tc>
          <w:tcPr>
            <w:tcW w:type="dxa" w:w="4460"/>
            <w:vAlign w:val="center"/>
          </w:tcPr>
          <w:p>
            <w:pPr>
              <w:spacing w:after="0"/>
              <w:jc w:val="left"/>
            </w:pPr>
            <w:r/>
            <w:r>
              <w:rPr>
                <w:rFonts w:ascii="Microsoft YaHei" w:hAnsi="Microsoft YaHei" w:eastAsia="Microsoft YaHei"/>
                <w:b w:val="0"/>
                <w:color w:val="1F2937"/>
                <w:sz w:val="18"/>
              </w:rPr>
              <w:t>{time}、{deviceNames}、{targetType}、{threatLevel}、{resultLabel}</w:t>
            </w:r>
          </w:p>
        </w:tc>
      </w:tr>
      <w:tr>
        <w:tc>
          <w:tcPr>
            <w:tcW w:type="dxa" w:w="1700"/>
            <w:vAlign w:val="center"/>
          </w:tcPr>
          <w:p>
            <w:pPr>
              <w:spacing w:after="0"/>
              <w:jc w:val="left"/>
            </w:pPr>
            <w:r/>
            <w:r>
              <w:rPr>
                <w:rFonts w:ascii="Microsoft YaHei" w:hAnsi="Microsoft YaHei" w:eastAsia="Microsoft YaHei"/>
                <w:b w:val="0"/>
                <w:color w:val="1F2937"/>
                <w:sz w:val="18"/>
              </w:rPr>
              <w:t>阶段详情</w:t>
            </w:r>
          </w:p>
        </w:tc>
        <w:tc>
          <w:tcPr>
            <w:tcW w:type="dxa" w:w="3200"/>
            <w:vAlign w:val="center"/>
          </w:tcPr>
          <w:p>
            <w:pPr>
              <w:spacing w:after="0"/>
              <w:jc w:val="left"/>
            </w:pPr>
            <w:r/>
            <w:r>
              <w:rPr>
                <w:rFonts w:ascii="Microsoft YaHei" w:hAnsi="Microsoft YaHei" w:eastAsia="Microsoft YaHei"/>
                <w:b w:val="0"/>
                <w:color w:val="1F2937"/>
                <w:sz w:val="18"/>
              </w:rPr>
              <w:t>字段名 + 字段值</w:t>
            </w:r>
          </w:p>
        </w:tc>
        <w:tc>
          <w:tcPr>
            <w:tcW w:type="dxa" w:w="4460"/>
            <w:vAlign w:val="center"/>
          </w:tcPr>
          <w:p>
            <w:pPr>
              <w:spacing w:after="0"/>
              <w:jc w:val="left"/>
            </w:pPr>
            <w:r/>
            <w:r>
              <w:rPr>
                <w:rFonts w:ascii="Microsoft YaHei" w:hAnsi="Microsoft YaHei" w:eastAsia="Microsoft YaHei"/>
                <w:b w:val="0"/>
                <w:color w:val="1F2937"/>
                <w:sz w:val="18"/>
              </w:rPr>
              <w:t>{frequency}、{location}、{ruleNames}、{planName}、{actionName}</w:t>
            </w:r>
          </w:p>
        </w:tc>
      </w:tr>
      <w:tr>
        <w:tc>
          <w:tcPr>
            <w:tcW w:type="dxa" w:w="1700"/>
            <w:vAlign w:val="center"/>
          </w:tcPr>
          <w:p>
            <w:pPr>
              <w:spacing w:after="0"/>
              <w:jc w:val="left"/>
            </w:pPr>
            <w:r/>
            <w:r>
              <w:rPr>
                <w:rFonts w:ascii="Microsoft YaHei" w:hAnsi="Microsoft YaHei" w:eastAsia="Microsoft YaHei"/>
                <w:b w:val="0"/>
                <w:color w:val="1F2937"/>
                <w:sz w:val="18"/>
              </w:rPr>
              <w:t>未触发说明</w:t>
            </w:r>
          </w:p>
        </w:tc>
        <w:tc>
          <w:tcPr>
            <w:tcW w:type="dxa" w:w="3200"/>
            <w:vAlign w:val="center"/>
          </w:tcPr>
          <w:p>
            <w:pPr>
              <w:spacing w:after="0"/>
              <w:jc w:val="left"/>
            </w:pPr>
            <w:r/>
            <w:r>
              <w:rPr>
                <w:rFonts w:ascii="Microsoft YaHei" w:hAnsi="Microsoft YaHei" w:eastAsia="Microsoft YaHei"/>
                <w:b w:val="0"/>
                <w:color w:val="1F2937"/>
                <w:sz w:val="18"/>
              </w:rPr>
              <w:t>未触发原因 + 后续状态</w:t>
            </w:r>
          </w:p>
        </w:tc>
        <w:tc>
          <w:tcPr>
            <w:tcW w:type="dxa" w:w="4460"/>
            <w:vAlign w:val="center"/>
          </w:tcPr>
          <w:p>
            <w:pPr>
              <w:spacing w:after="0"/>
              <w:jc w:val="left"/>
            </w:pPr>
            <w:r/>
            <w:r>
              <w:rPr>
                <w:rFonts w:ascii="Microsoft YaHei" w:hAnsi="Microsoft YaHei" w:eastAsia="Microsoft YaHei"/>
                <w:b w:val="0"/>
                <w:color w:val="1F2937"/>
                <w:sz w:val="18"/>
              </w:rPr>
              <w:t>{skipReason}、{handlingStatus}、{endReason}</w:t>
            </w:r>
          </w:p>
        </w:tc>
      </w:tr>
      <w:tr>
        <w:tc>
          <w:tcPr>
            <w:tcW w:type="dxa" w:w="1700"/>
            <w:vAlign w:val="center"/>
          </w:tcPr>
          <w:p>
            <w:pPr>
              <w:spacing w:after="0"/>
              <w:jc w:val="left"/>
            </w:pPr>
            <w:r/>
            <w:r>
              <w:rPr>
                <w:rFonts w:ascii="Microsoft YaHei" w:hAnsi="Microsoft YaHei" w:eastAsia="Microsoft YaHei"/>
                <w:b w:val="0"/>
                <w:color w:val="1F2937"/>
                <w:sz w:val="18"/>
              </w:rPr>
              <w:t>业务标签</w:t>
            </w:r>
          </w:p>
        </w:tc>
        <w:tc>
          <w:tcPr>
            <w:tcW w:type="dxa" w:w="3200"/>
            <w:vAlign w:val="center"/>
          </w:tcPr>
          <w:p>
            <w:pPr>
              <w:spacing w:after="0"/>
              <w:jc w:val="left"/>
            </w:pPr>
            <w:r/>
            <w:r>
              <w:rPr>
                <w:rFonts w:ascii="Microsoft YaHei" w:hAnsi="Microsoft YaHei" w:eastAsia="Microsoft YaHei"/>
                <w:b w:val="0"/>
                <w:color w:val="1F2937"/>
                <w:sz w:val="18"/>
              </w:rPr>
              <w:t>字段派生标签</w:t>
            </w:r>
          </w:p>
        </w:tc>
        <w:tc>
          <w:tcPr>
            <w:tcW w:type="dxa" w:w="4460"/>
            <w:vAlign w:val="center"/>
          </w:tcPr>
          <w:p>
            <w:pPr>
              <w:spacing w:after="0"/>
              <w:jc w:val="left"/>
            </w:pPr>
            <w:r/>
            <w:r>
              <w:rPr>
                <w:rFonts w:ascii="Microsoft YaHei" w:hAnsi="Microsoft YaHei" w:eastAsia="Microsoft YaHei"/>
                <w:b w:val="0"/>
                <w:color w:val="1F2937"/>
                <w:sz w:val="18"/>
              </w:rPr>
              <w:t>{deviceType}、{identityLabel}、{zoneName}、{planHitStatus}</w:t>
            </w:r>
          </w:p>
        </w:tc>
      </w:tr>
    </w:tbl>
    <w:p/>
    <w:tbl>
      <w:tblGrid>
        <w:gridCol w:w="9360"/>
      </w:tblGrid>
      <w:tblPr>
        <w:tblW w:type="dxa" w:w="9360"/>
        <w:jc w:val="left"/>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type="dxa" w:w="9360"/>
            <w:shd w:fill="F8FAFC"/>
          </w:tcPr>
          <w:p>
            <w:pPr>
              <w:spacing w:after="0"/>
            </w:pPr>
            <w:r/>
            <w:r>
              <w:rPr>
                <w:rFonts w:ascii="Consolas" w:hAnsi="Consolas" w:eastAsia="Microsoft YaHei"/>
                <w:color w:val="334155"/>
                <w:sz w:val="17"/>
              </w:rPr>
              <w:t>const templates = {</w:t>
              <w:br/>
              <w:t xml:space="preserve">  discovery: '[{time}] {deviceNames}发现疑似低空目标，已形成原始探测记录。',</w:t>
              <w:br/>
              <w:t xml:space="preserve">  identification: '[{time}] 完成目标识别，判定为{targetType}，身份属性为{identityLabel}。',</w:t>
              <w:br/>
              <w:t xml:space="preserve">  assessment: '[{time}] 根据威胁评估规则，目标命中{ruleCount}项条件，评估结果为{threatLevel}。',</w:t>
              <w:br/>
              <w:t xml:space="preserve">  disposal: '[{time}] 命中预案策略“{planName}”，已联动{deviceCount}台反制设备执行{actionName}。',</w:t>
              <w:br/>
              <w:t xml:space="preserve">  disposalSkipped: '[{time}] 未命中反制预案，未下发处置指令；原因：{skipReason}。',</w:t>
              <w:br/>
              <w:t xml:space="preserve">  result: '[{time}] 事件已闭环，最终结果为{resultLabel}。'</w:t>
              <w:br/>
              <w:t>}</w:t>
            </w:r>
          </w:p>
        </w:tc>
      </w:tr>
    </w:tbl>
    <w:p/>
    <w:p>
      <w:pPr>
        <w:pStyle w:val="Heading1"/>
      </w:pPr>
      <w:r>
        <w:rPr>
          <w:rFonts w:ascii="Microsoft YaHei" w:hAnsi="Microsoft YaHei" w:eastAsia="Microsoft YaHei"/>
          <w:color w:val="2E74B5"/>
        </w:rPr>
        <w:t>七、业务标签派生规则</w:t>
      </w:r>
    </w:p>
    <w:tbl>
      <w:tblGrid>
        <w:gridCol w:w="1700"/>
        <w:gridCol w:w="2600"/>
        <w:gridCol w:w="5060"/>
      </w:tblGrid>
      <w:tblPr>
        <w:tblStyle w:val="TableGrid"/>
        <w:tblW w:type="dxa" w:w="9360"/>
        <w:jc w:val="left"/>
        <w:tblLook w:firstColumn="1" w:firstRow="1" w:lastColumn="0" w:lastRow="0" w:noHBand="0" w:noVBand="1" w:val="04A0"/>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Pr>
      <w:tr>
        <w:tc>
          <w:tcPr>
            <w:tcW w:type="dxa" w:w="1700"/>
            <w:shd w:fill="E8EEF5"/>
            <w:vAlign w:val="center"/>
          </w:tcPr>
          <w:p>
            <w:pPr>
              <w:spacing w:after="0"/>
              <w:jc w:val="center"/>
            </w:pPr>
            <w:r/>
            <w:r>
              <w:rPr>
                <w:rFonts w:ascii="Microsoft YaHei" w:hAnsi="Microsoft YaHei" w:eastAsia="Microsoft YaHei"/>
                <w:b/>
                <w:color w:val="0F172A"/>
                <w:sz w:val="18"/>
              </w:rPr>
              <w:t>标签类别</w:t>
            </w:r>
          </w:p>
        </w:tc>
        <w:tc>
          <w:tcPr>
            <w:tcW w:type="dxa" w:w="2600"/>
            <w:shd w:fill="E8EEF5"/>
            <w:vAlign w:val="center"/>
          </w:tcPr>
          <w:p>
            <w:pPr>
              <w:spacing w:after="0"/>
              <w:jc w:val="center"/>
            </w:pPr>
            <w:r/>
            <w:r>
              <w:rPr>
                <w:rFonts w:ascii="Microsoft YaHei" w:hAnsi="Microsoft YaHei" w:eastAsia="Microsoft YaHei"/>
                <w:b/>
                <w:color w:val="0F172A"/>
                <w:sz w:val="18"/>
              </w:rPr>
              <w:t>示例</w:t>
            </w:r>
          </w:p>
        </w:tc>
        <w:tc>
          <w:tcPr>
            <w:tcW w:type="dxa" w:w="5060"/>
            <w:shd w:fill="E8EEF5"/>
            <w:vAlign w:val="center"/>
          </w:tcPr>
          <w:p>
            <w:pPr>
              <w:spacing w:after="0"/>
              <w:jc w:val="center"/>
            </w:pPr>
            <w:r/>
            <w:r>
              <w:rPr>
                <w:rFonts w:ascii="Microsoft YaHei" w:hAnsi="Microsoft YaHei" w:eastAsia="Microsoft YaHei"/>
                <w:b/>
                <w:color w:val="0F172A"/>
                <w:sz w:val="18"/>
              </w:rPr>
              <w:t>派生条件</w:t>
            </w:r>
          </w:p>
        </w:tc>
      </w:tr>
      <w:tr>
        <w:tc>
          <w:tcPr>
            <w:tcW w:type="dxa" w:w="1700"/>
            <w:vAlign w:val="center"/>
          </w:tcPr>
          <w:p>
            <w:pPr>
              <w:spacing w:after="0"/>
              <w:jc w:val="left"/>
            </w:pPr>
            <w:r/>
            <w:r>
              <w:rPr>
                <w:rFonts w:ascii="Microsoft YaHei" w:hAnsi="Microsoft YaHei" w:eastAsia="Microsoft YaHei"/>
                <w:b w:val="0"/>
                <w:color w:val="1F2937"/>
                <w:sz w:val="18"/>
              </w:rPr>
              <w:t>来源标签</w:t>
            </w:r>
          </w:p>
        </w:tc>
        <w:tc>
          <w:tcPr>
            <w:tcW w:type="dxa" w:w="2600"/>
            <w:vAlign w:val="center"/>
          </w:tcPr>
          <w:p>
            <w:pPr>
              <w:spacing w:after="0"/>
              <w:jc w:val="left"/>
            </w:pPr>
            <w:r/>
            <w:r>
              <w:rPr>
                <w:rFonts w:ascii="Microsoft YaHei" w:hAnsi="Microsoft YaHei" w:eastAsia="Microsoft YaHei"/>
                <w:b w:val="0"/>
                <w:color w:val="1F2937"/>
                <w:sz w:val="18"/>
              </w:rPr>
              <w:t>雷达、无线电、多源融合</w:t>
            </w:r>
          </w:p>
        </w:tc>
        <w:tc>
          <w:tcPr>
            <w:tcW w:type="dxa" w:w="5060"/>
            <w:vAlign w:val="center"/>
          </w:tcPr>
          <w:p>
            <w:pPr>
              <w:spacing w:after="0"/>
              <w:jc w:val="left"/>
            </w:pPr>
            <w:r/>
            <w:r>
              <w:rPr>
                <w:rFonts w:ascii="Microsoft YaHei" w:hAnsi="Microsoft YaHei" w:eastAsia="Microsoft YaHei"/>
                <w:b w:val="0"/>
                <w:color w:val="1F2937"/>
                <w:sz w:val="18"/>
              </w:rPr>
              <w:t>来自 discovery.sources 或 dataSource 字段。</w:t>
            </w:r>
          </w:p>
        </w:tc>
      </w:tr>
      <w:tr>
        <w:tc>
          <w:tcPr>
            <w:tcW w:type="dxa" w:w="1700"/>
            <w:vAlign w:val="center"/>
          </w:tcPr>
          <w:p>
            <w:pPr>
              <w:spacing w:after="0"/>
              <w:jc w:val="left"/>
            </w:pPr>
            <w:r/>
            <w:r>
              <w:rPr>
                <w:rFonts w:ascii="Microsoft YaHei" w:hAnsi="Microsoft YaHei" w:eastAsia="Microsoft YaHei"/>
                <w:b w:val="0"/>
                <w:color w:val="1F2937"/>
                <w:sz w:val="18"/>
              </w:rPr>
              <w:t>身份标签</w:t>
            </w:r>
          </w:p>
        </w:tc>
        <w:tc>
          <w:tcPr>
            <w:tcW w:type="dxa" w:w="2600"/>
            <w:vAlign w:val="center"/>
          </w:tcPr>
          <w:p>
            <w:pPr>
              <w:spacing w:after="0"/>
              <w:jc w:val="left"/>
            </w:pPr>
            <w:r/>
            <w:r>
              <w:rPr>
                <w:rFonts w:ascii="Microsoft YaHei" w:hAnsi="Microsoft YaHei" w:eastAsia="Microsoft YaHei"/>
                <w:b w:val="0"/>
                <w:color w:val="1F2937"/>
                <w:sz w:val="18"/>
              </w:rPr>
              <w:t>非合作式、黑名单、白名单、飞鸟扰动</w:t>
            </w:r>
          </w:p>
        </w:tc>
        <w:tc>
          <w:tcPr>
            <w:tcW w:type="dxa" w:w="5060"/>
            <w:vAlign w:val="center"/>
          </w:tcPr>
          <w:p>
            <w:pPr>
              <w:spacing w:after="0"/>
              <w:jc w:val="left"/>
            </w:pPr>
            <w:r/>
            <w:r>
              <w:rPr>
                <w:rFonts w:ascii="Microsoft YaHei" w:hAnsi="Microsoft YaHei" w:eastAsia="Microsoft YaHei"/>
                <w:b w:val="0"/>
                <w:color w:val="1F2937"/>
                <w:sz w:val="18"/>
              </w:rPr>
              <w:t>来自识别阶段 targetType、cooperationType、listStatus。</w:t>
            </w:r>
          </w:p>
        </w:tc>
      </w:tr>
      <w:tr>
        <w:tc>
          <w:tcPr>
            <w:tcW w:type="dxa" w:w="1700"/>
            <w:vAlign w:val="center"/>
          </w:tcPr>
          <w:p>
            <w:pPr>
              <w:spacing w:after="0"/>
              <w:jc w:val="left"/>
            </w:pPr>
            <w:r/>
            <w:r>
              <w:rPr>
                <w:rFonts w:ascii="Microsoft YaHei" w:hAnsi="Microsoft YaHei" w:eastAsia="Microsoft YaHei"/>
                <w:b w:val="0"/>
                <w:color w:val="1F2937"/>
                <w:sz w:val="18"/>
              </w:rPr>
              <w:t>风险标签</w:t>
            </w:r>
          </w:p>
        </w:tc>
        <w:tc>
          <w:tcPr>
            <w:tcW w:type="dxa" w:w="2600"/>
            <w:vAlign w:val="center"/>
          </w:tcPr>
          <w:p>
            <w:pPr>
              <w:spacing w:after="0"/>
              <w:jc w:val="left"/>
            </w:pPr>
            <w:r/>
            <w:r>
              <w:rPr>
                <w:rFonts w:ascii="Microsoft YaHei" w:hAnsi="Microsoft YaHei" w:eastAsia="Microsoft YaHei"/>
                <w:b w:val="0"/>
                <w:color w:val="1F2937"/>
                <w:sz w:val="18"/>
              </w:rPr>
              <w:t>高风险、核心区、命中规则</w:t>
            </w:r>
          </w:p>
        </w:tc>
        <w:tc>
          <w:tcPr>
            <w:tcW w:type="dxa" w:w="5060"/>
            <w:vAlign w:val="center"/>
          </w:tcPr>
          <w:p>
            <w:pPr>
              <w:spacing w:after="0"/>
              <w:jc w:val="left"/>
            </w:pPr>
            <w:r/>
            <w:r>
              <w:rPr>
                <w:rFonts w:ascii="Microsoft YaHei" w:hAnsi="Microsoft YaHei" w:eastAsia="Microsoft YaHei"/>
                <w:b w:val="0"/>
                <w:color w:val="1F2937"/>
                <w:sz w:val="18"/>
              </w:rPr>
              <w:t>来自 assessment.threatLevel、zoneName、hitRules。</w:t>
            </w:r>
          </w:p>
        </w:tc>
      </w:tr>
      <w:tr>
        <w:tc>
          <w:tcPr>
            <w:tcW w:type="dxa" w:w="1700"/>
            <w:vAlign w:val="center"/>
          </w:tcPr>
          <w:p>
            <w:pPr>
              <w:spacing w:after="0"/>
              <w:jc w:val="left"/>
            </w:pPr>
            <w:r/>
            <w:r>
              <w:rPr>
                <w:rFonts w:ascii="Microsoft YaHei" w:hAnsi="Microsoft YaHei" w:eastAsia="Microsoft YaHei"/>
                <w:b w:val="0"/>
                <w:color w:val="1F2937"/>
                <w:sz w:val="18"/>
              </w:rPr>
              <w:t>处置标签</w:t>
            </w:r>
          </w:p>
        </w:tc>
        <w:tc>
          <w:tcPr>
            <w:tcW w:type="dxa" w:w="2600"/>
            <w:vAlign w:val="center"/>
          </w:tcPr>
          <w:p>
            <w:pPr>
              <w:spacing w:after="0"/>
              <w:jc w:val="left"/>
            </w:pPr>
            <w:r/>
            <w:r>
              <w:rPr>
                <w:rFonts w:ascii="Microsoft YaHei" w:hAnsi="Microsoft YaHei" w:eastAsia="Microsoft YaHei"/>
                <w:b w:val="0"/>
                <w:color w:val="1F2937"/>
                <w:sz w:val="18"/>
              </w:rPr>
              <w:t>已联动反制、未触发预案、指令下发</w:t>
            </w:r>
          </w:p>
        </w:tc>
        <w:tc>
          <w:tcPr>
            <w:tcW w:type="dxa" w:w="5060"/>
            <w:vAlign w:val="center"/>
          </w:tcPr>
          <w:p>
            <w:pPr>
              <w:spacing w:after="0"/>
              <w:jc w:val="left"/>
            </w:pPr>
            <w:r/>
            <w:r>
              <w:rPr>
                <w:rFonts w:ascii="Microsoft YaHei" w:hAnsi="Microsoft YaHei" w:eastAsia="Microsoft YaHei"/>
                <w:b w:val="0"/>
                <w:color w:val="1F2937"/>
                <w:sz w:val="18"/>
              </w:rPr>
              <w:t>来自 planHit、countermeasureDevice、commandStatus。</w:t>
            </w:r>
          </w:p>
        </w:tc>
      </w:tr>
      <w:tr>
        <w:tc>
          <w:tcPr>
            <w:tcW w:type="dxa" w:w="1700"/>
            <w:vAlign w:val="center"/>
          </w:tcPr>
          <w:p>
            <w:pPr>
              <w:spacing w:after="0"/>
              <w:jc w:val="left"/>
            </w:pPr>
            <w:r/>
            <w:r>
              <w:rPr>
                <w:rFonts w:ascii="Microsoft YaHei" w:hAnsi="Microsoft YaHei" w:eastAsia="Microsoft YaHei"/>
                <w:b w:val="0"/>
                <w:color w:val="1F2937"/>
                <w:sz w:val="18"/>
              </w:rPr>
              <w:t>结果标签</w:t>
            </w:r>
          </w:p>
        </w:tc>
        <w:tc>
          <w:tcPr>
            <w:tcW w:type="dxa" w:w="2600"/>
            <w:vAlign w:val="center"/>
          </w:tcPr>
          <w:p>
            <w:pPr>
              <w:spacing w:after="0"/>
              <w:jc w:val="left"/>
            </w:pPr>
            <w:r/>
            <w:r>
              <w:rPr>
                <w:rFonts w:ascii="Microsoft YaHei" w:hAnsi="Microsoft YaHei" w:eastAsia="Microsoft YaHei"/>
                <w:b w:val="0"/>
                <w:color w:val="1F2937"/>
                <w:sz w:val="18"/>
              </w:rPr>
              <w:t>已处置、已结束、目标自离、误报排除</w:t>
            </w:r>
          </w:p>
        </w:tc>
        <w:tc>
          <w:tcPr>
            <w:tcW w:type="dxa" w:w="5060"/>
            <w:vAlign w:val="center"/>
          </w:tcPr>
          <w:p>
            <w:pPr>
              <w:spacing w:after="0"/>
              <w:jc w:val="left"/>
            </w:pPr>
            <w:r/>
            <w:r>
              <w:rPr>
                <w:rFonts w:ascii="Microsoft YaHei" w:hAnsi="Microsoft YaHei" w:eastAsia="Microsoft YaHei"/>
                <w:b w:val="0"/>
                <w:color w:val="1F2937"/>
                <w:sz w:val="18"/>
              </w:rPr>
              <w:t>来自 handlingStatus、handlingResult、endReason。</w:t>
            </w:r>
          </w:p>
        </w:tc>
      </w:tr>
    </w:tbl>
    <w:p/>
    <w:p>
      <w:pPr>
        <w:pStyle w:val="Heading1"/>
      </w:pPr>
      <w:r>
        <w:rPr>
          <w:rFonts w:ascii="Microsoft YaHei" w:hAnsi="Microsoft YaHei" w:eastAsia="Microsoft YaHei"/>
          <w:color w:val="2E74B5"/>
        </w:rPr>
        <w:t>八、常见场景展示状态</w:t>
      </w:r>
    </w:p>
    <w:p>
      <w:pPr>
        <w:spacing w:after="120" w:line="300" w:lineRule="auto"/>
      </w:pPr>
      <w:r>
        <w:rPr>
          <w:rFonts w:ascii="Microsoft YaHei" w:hAnsi="Microsoft YaHei" w:eastAsia="Microsoft YaHei"/>
          <w:color w:val="1F2937"/>
          <w:sz w:val="21"/>
        </w:rPr>
        <w:t>以下场景用于演示和研发联调。实际展示时，字段可按事件数据替换；阶段状态与可见性应保持一致。</w:t>
      </w:r>
    </w:p>
    <w:tbl>
      <w:tblGrid>
        <w:gridCol w:w="1500"/>
        <w:gridCol w:w="2300"/>
        <w:gridCol w:w="3300"/>
        <w:gridCol w:w="2260"/>
      </w:tblGrid>
      <w:tblPr>
        <w:tblStyle w:val="TableGrid"/>
        <w:tblW w:type="dxa" w:w="9360"/>
        <w:jc w:val="left"/>
        <w:tblLook w:firstColumn="1" w:firstRow="1" w:lastColumn="0" w:lastRow="0" w:noHBand="0" w:noVBand="1" w:val="04A0"/>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Pr>
      <w:tr>
        <w:tc>
          <w:tcPr>
            <w:tcW w:type="dxa" w:w="1500"/>
            <w:shd w:fill="E8EEF5"/>
            <w:vAlign w:val="center"/>
          </w:tcPr>
          <w:p>
            <w:pPr>
              <w:spacing w:after="0"/>
              <w:jc w:val="center"/>
            </w:pPr>
            <w:r/>
            <w:r>
              <w:rPr>
                <w:rFonts w:ascii="Microsoft YaHei" w:hAnsi="Microsoft YaHei" w:eastAsia="Microsoft YaHei"/>
                <w:b/>
                <w:color w:val="0F172A"/>
                <w:sz w:val="17"/>
              </w:rPr>
              <w:t>场景</w:t>
            </w:r>
          </w:p>
        </w:tc>
        <w:tc>
          <w:tcPr>
            <w:tcW w:type="dxa" w:w="2300"/>
            <w:shd w:fill="E8EEF5"/>
            <w:vAlign w:val="center"/>
          </w:tcPr>
          <w:p>
            <w:pPr>
              <w:spacing w:after="0"/>
              <w:jc w:val="center"/>
            </w:pPr>
            <w:r/>
            <w:r>
              <w:rPr>
                <w:rFonts w:ascii="Microsoft YaHei" w:hAnsi="Microsoft YaHei" w:eastAsia="Microsoft YaHei"/>
                <w:b/>
                <w:color w:val="0F172A"/>
                <w:sz w:val="17"/>
              </w:rPr>
              <w:t>业务描述</w:t>
            </w:r>
          </w:p>
        </w:tc>
        <w:tc>
          <w:tcPr>
            <w:tcW w:type="dxa" w:w="3300"/>
            <w:shd w:fill="E8EEF5"/>
            <w:vAlign w:val="center"/>
          </w:tcPr>
          <w:p>
            <w:pPr>
              <w:spacing w:after="0"/>
              <w:jc w:val="center"/>
            </w:pPr>
            <w:r/>
            <w:r>
              <w:rPr>
                <w:rFonts w:ascii="Microsoft YaHei" w:hAnsi="Microsoft YaHei" w:eastAsia="Microsoft YaHei"/>
                <w:b/>
                <w:color w:val="0F172A"/>
                <w:sz w:val="17"/>
              </w:rPr>
              <w:t>阶段状态</w:t>
            </w:r>
          </w:p>
        </w:tc>
        <w:tc>
          <w:tcPr>
            <w:tcW w:type="dxa" w:w="2260"/>
            <w:shd w:fill="E8EEF5"/>
            <w:vAlign w:val="center"/>
          </w:tcPr>
          <w:p>
            <w:pPr>
              <w:spacing w:after="0"/>
              <w:jc w:val="center"/>
            </w:pPr>
            <w:r/>
            <w:r>
              <w:rPr>
                <w:rFonts w:ascii="Microsoft YaHei" w:hAnsi="Microsoft YaHei" w:eastAsia="Microsoft YaHei"/>
                <w:b/>
                <w:color w:val="0F172A"/>
                <w:sz w:val="17"/>
              </w:rPr>
              <w:t>展示说明</w:t>
            </w:r>
          </w:p>
        </w:tc>
      </w:tr>
      <w:tr>
        <w:tc>
          <w:tcPr>
            <w:tcW w:type="dxa" w:w="1500"/>
            <w:vAlign w:val="center"/>
          </w:tcPr>
          <w:p>
            <w:pPr>
              <w:spacing w:after="0"/>
              <w:jc w:val="left"/>
            </w:pPr>
            <w:r/>
            <w:r>
              <w:rPr>
                <w:rFonts w:ascii="Microsoft YaHei" w:hAnsi="Microsoft YaHei" w:eastAsia="Microsoft YaHei"/>
                <w:b w:val="0"/>
                <w:color w:val="1F2937"/>
                <w:sz w:val="17"/>
              </w:rPr>
              <w:t>黑飞无人机入侵</w:t>
            </w:r>
          </w:p>
        </w:tc>
        <w:tc>
          <w:tcPr>
            <w:tcW w:type="dxa" w:w="2300"/>
            <w:vAlign w:val="center"/>
          </w:tcPr>
          <w:p>
            <w:pPr>
              <w:spacing w:after="0"/>
              <w:jc w:val="left"/>
            </w:pPr>
            <w:r/>
            <w:r>
              <w:rPr>
                <w:rFonts w:ascii="Microsoft YaHei" w:hAnsi="Microsoft YaHei" w:eastAsia="Microsoft YaHei"/>
                <w:b w:val="0"/>
                <w:color w:val="1F2937"/>
                <w:sz w:val="17"/>
              </w:rPr>
              <w:t>非合作式无人机进入防护区域。</w:t>
            </w:r>
          </w:p>
        </w:tc>
        <w:tc>
          <w:tcPr>
            <w:tcW w:type="dxa" w:w="3300"/>
            <w:vAlign w:val="center"/>
          </w:tcPr>
          <w:p>
            <w:pPr>
              <w:spacing w:after="0"/>
              <w:jc w:val="left"/>
            </w:pPr>
            <w:r/>
            <w:r>
              <w:rPr>
                <w:rFonts w:ascii="Microsoft YaHei" w:hAnsi="Microsoft YaHei" w:eastAsia="Microsoft YaHei"/>
                <w:b w:val="0"/>
                <w:color w:val="1F2937"/>
                <w:sz w:val="17"/>
              </w:rPr>
              <w:t>设备发现=已完成；威胁识别=已完成；威胁评估=已完成；处置执行=已完成/进行中；处置结果=已完成/进行中。</w:t>
            </w:r>
          </w:p>
        </w:tc>
        <w:tc>
          <w:tcPr>
            <w:tcW w:type="dxa" w:w="2260"/>
            <w:vAlign w:val="center"/>
          </w:tcPr>
          <w:p>
            <w:pPr>
              <w:spacing w:after="0"/>
              <w:jc w:val="left"/>
            </w:pPr>
            <w:r/>
            <w:r>
              <w:rPr>
                <w:rFonts w:ascii="Microsoft YaHei" w:hAnsi="Microsoft YaHei" w:eastAsia="Microsoft YaHei"/>
                <w:b w:val="0"/>
                <w:color w:val="1F2937"/>
                <w:sz w:val="17"/>
              </w:rPr>
              <w:t>展示完整五阶段。若反制执行中，处置结果暂不展示或展示为进行中。</w:t>
            </w:r>
          </w:p>
        </w:tc>
      </w:tr>
      <w:tr>
        <w:tc>
          <w:tcPr>
            <w:tcW w:type="dxa" w:w="1500"/>
            <w:vAlign w:val="center"/>
          </w:tcPr>
          <w:p>
            <w:pPr>
              <w:spacing w:after="0"/>
              <w:jc w:val="left"/>
            </w:pPr>
            <w:r/>
            <w:r>
              <w:rPr>
                <w:rFonts w:ascii="Microsoft YaHei" w:hAnsi="Microsoft YaHei" w:eastAsia="Microsoft YaHei"/>
                <w:b w:val="0"/>
                <w:color w:val="1F2937"/>
                <w:sz w:val="17"/>
              </w:rPr>
              <w:t>黑名单无人机入侵</w:t>
            </w:r>
          </w:p>
        </w:tc>
        <w:tc>
          <w:tcPr>
            <w:tcW w:type="dxa" w:w="2300"/>
            <w:vAlign w:val="center"/>
          </w:tcPr>
          <w:p>
            <w:pPr>
              <w:spacing w:after="0"/>
              <w:jc w:val="left"/>
            </w:pPr>
            <w:r/>
            <w:r>
              <w:rPr>
                <w:rFonts w:ascii="Microsoft YaHei" w:hAnsi="Microsoft YaHei" w:eastAsia="Microsoft YaHei"/>
                <w:b w:val="0"/>
                <w:color w:val="1F2937"/>
                <w:sz w:val="17"/>
              </w:rPr>
              <w:t>合作式或品牌无人机命中黑名单后进入区域。</w:t>
            </w:r>
          </w:p>
        </w:tc>
        <w:tc>
          <w:tcPr>
            <w:tcW w:type="dxa" w:w="3300"/>
            <w:vAlign w:val="center"/>
          </w:tcPr>
          <w:p>
            <w:pPr>
              <w:spacing w:after="0"/>
              <w:jc w:val="left"/>
            </w:pPr>
            <w:r/>
            <w:r>
              <w:rPr>
                <w:rFonts w:ascii="Microsoft YaHei" w:hAnsi="Microsoft YaHei" w:eastAsia="Microsoft YaHei"/>
                <w:b w:val="0"/>
                <w:color w:val="1F2937"/>
                <w:sz w:val="17"/>
              </w:rPr>
              <w:t>设备发现=已完成；威胁识别=已完成；威胁评估=已完成；处置执行=已完成；处置结果=已完成。</w:t>
            </w:r>
          </w:p>
        </w:tc>
        <w:tc>
          <w:tcPr>
            <w:tcW w:type="dxa" w:w="2260"/>
            <w:vAlign w:val="center"/>
          </w:tcPr>
          <w:p>
            <w:pPr>
              <w:spacing w:after="0"/>
              <w:jc w:val="left"/>
            </w:pPr>
            <w:r/>
            <w:r>
              <w:rPr>
                <w:rFonts w:ascii="Microsoft YaHei" w:hAnsi="Microsoft YaHei" w:eastAsia="Microsoft YaHei"/>
                <w:b w:val="0"/>
                <w:color w:val="1F2937"/>
                <w:sz w:val="17"/>
              </w:rPr>
              <w:t>展示完整五阶段，识别阶段突出黑名单命中，评估阶段突出高风险规则。</w:t>
            </w:r>
          </w:p>
        </w:tc>
      </w:tr>
      <w:tr>
        <w:tc>
          <w:tcPr>
            <w:tcW w:type="dxa" w:w="1500"/>
            <w:vAlign w:val="center"/>
          </w:tcPr>
          <w:p>
            <w:pPr>
              <w:spacing w:after="0"/>
              <w:jc w:val="left"/>
            </w:pPr>
            <w:r/>
            <w:r>
              <w:rPr>
                <w:rFonts w:ascii="Microsoft YaHei" w:hAnsi="Microsoft YaHei" w:eastAsia="Microsoft YaHei"/>
                <w:b w:val="0"/>
                <w:color w:val="1F2937"/>
                <w:sz w:val="17"/>
              </w:rPr>
              <w:t>白名单无人机</w:t>
            </w:r>
          </w:p>
        </w:tc>
        <w:tc>
          <w:tcPr>
            <w:tcW w:type="dxa" w:w="2300"/>
            <w:vAlign w:val="center"/>
          </w:tcPr>
          <w:p>
            <w:pPr>
              <w:spacing w:after="0"/>
              <w:jc w:val="left"/>
            </w:pPr>
            <w:r/>
            <w:r>
              <w:rPr>
                <w:rFonts w:ascii="Microsoft YaHei" w:hAnsi="Microsoft YaHei" w:eastAsia="Microsoft YaHei"/>
                <w:b w:val="0"/>
                <w:color w:val="1F2937"/>
                <w:sz w:val="17"/>
              </w:rPr>
              <w:t>合作式白名单目标进入授权或低风险区域。</w:t>
            </w:r>
          </w:p>
        </w:tc>
        <w:tc>
          <w:tcPr>
            <w:tcW w:type="dxa" w:w="3300"/>
            <w:vAlign w:val="center"/>
          </w:tcPr>
          <w:p>
            <w:pPr>
              <w:spacing w:after="0"/>
              <w:jc w:val="left"/>
            </w:pPr>
            <w:r/>
            <w:r>
              <w:rPr>
                <w:rFonts w:ascii="Microsoft YaHei" w:hAnsi="Microsoft YaHei" w:eastAsia="Microsoft YaHei"/>
                <w:b w:val="0"/>
                <w:color w:val="1F2937"/>
                <w:sz w:val="17"/>
              </w:rPr>
              <w:t>设备发现=已完成；威胁识别=已完成；威胁评估=已完成；处置执行=未触发；处置结果=已完成。</w:t>
            </w:r>
          </w:p>
        </w:tc>
        <w:tc>
          <w:tcPr>
            <w:tcW w:type="dxa" w:w="2260"/>
            <w:vAlign w:val="center"/>
          </w:tcPr>
          <w:p>
            <w:pPr>
              <w:spacing w:after="0"/>
              <w:jc w:val="left"/>
            </w:pPr>
            <w:r/>
            <w:r>
              <w:rPr>
                <w:rFonts w:ascii="Microsoft YaHei" w:hAnsi="Microsoft YaHei" w:eastAsia="Microsoft YaHei"/>
                <w:b w:val="0"/>
                <w:color w:val="1F2937"/>
                <w:sz w:val="17"/>
              </w:rPr>
              <w:t>处置执行展示为轻量未触发节点，说明白名单或低风险未命中反制预案。</w:t>
            </w:r>
          </w:p>
        </w:tc>
      </w:tr>
      <w:tr>
        <w:tc>
          <w:tcPr>
            <w:tcW w:type="dxa" w:w="1500"/>
            <w:vAlign w:val="center"/>
          </w:tcPr>
          <w:p>
            <w:pPr>
              <w:spacing w:after="0"/>
              <w:jc w:val="left"/>
            </w:pPr>
            <w:r/>
            <w:r>
              <w:rPr>
                <w:rFonts w:ascii="Microsoft YaHei" w:hAnsi="Microsoft YaHei" w:eastAsia="Microsoft YaHei"/>
                <w:b w:val="0"/>
                <w:color w:val="1F2937"/>
                <w:sz w:val="17"/>
              </w:rPr>
              <w:t>飞鸟扰动</w:t>
            </w:r>
          </w:p>
        </w:tc>
        <w:tc>
          <w:tcPr>
            <w:tcW w:type="dxa" w:w="2300"/>
            <w:vAlign w:val="center"/>
          </w:tcPr>
          <w:p>
            <w:pPr>
              <w:spacing w:after="0"/>
              <w:jc w:val="left"/>
            </w:pPr>
            <w:r/>
            <w:r>
              <w:rPr>
                <w:rFonts w:ascii="Microsoft YaHei" w:hAnsi="Microsoft YaHei" w:eastAsia="Microsoft YaHei"/>
                <w:b w:val="0"/>
                <w:color w:val="1F2937"/>
                <w:sz w:val="17"/>
              </w:rPr>
              <w:t>探测信号经识别判定为飞鸟或非无人机目标。</w:t>
            </w:r>
          </w:p>
        </w:tc>
        <w:tc>
          <w:tcPr>
            <w:tcW w:type="dxa" w:w="3300"/>
            <w:vAlign w:val="center"/>
          </w:tcPr>
          <w:p>
            <w:pPr>
              <w:spacing w:after="0"/>
              <w:jc w:val="left"/>
            </w:pPr>
            <w:r/>
            <w:r>
              <w:rPr>
                <w:rFonts w:ascii="Microsoft YaHei" w:hAnsi="Microsoft YaHei" w:eastAsia="Microsoft YaHei"/>
                <w:b w:val="0"/>
                <w:color w:val="1F2937"/>
                <w:sz w:val="17"/>
              </w:rPr>
              <w:t>设备发现=已完成；威胁识别=已完成；威胁评估=已完成；处置执行=未触发；处置结果=已完成。</w:t>
            </w:r>
          </w:p>
        </w:tc>
        <w:tc>
          <w:tcPr>
            <w:tcW w:type="dxa" w:w="2260"/>
            <w:vAlign w:val="center"/>
          </w:tcPr>
          <w:p>
            <w:pPr>
              <w:spacing w:after="0"/>
              <w:jc w:val="left"/>
            </w:pPr>
            <w:r/>
            <w:r>
              <w:rPr>
                <w:rFonts w:ascii="Microsoft YaHei" w:hAnsi="Microsoft YaHei" w:eastAsia="Microsoft YaHei"/>
                <w:b w:val="0"/>
                <w:color w:val="1F2937"/>
                <w:sz w:val="17"/>
              </w:rPr>
              <w:t>处置结果使用“已结束”，结束原因可为飞鸟扰动排除或误报排除。</w:t>
            </w:r>
          </w:p>
        </w:tc>
      </w:tr>
    </w:tbl>
    <w:p/>
    <w:p>
      <w:pPr>
        <w:pStyle w:val="Heading1"/>
      </w:pPr>
      <w:r>
        <w:rPr>
          <w:rFonts w:ascii="Microsoft YaHei" w:hAnsi="Microsoft YaHei" w:eastAsia="Microsoft YaHei"/>
          <w:color w:val="2E74B5"/>
        </w:rPr>
        <w:t>九、场景样例文案</w:t>
      </w:r>
    </w:p>
    <w:tbl>
      <w:tblGrid>
        <w:gridCol w:w="1600"/>
        <w:gridCol w:w="1500"/>
        <w:gridCol w:w="1200"/>
        <w:gridCol w:w="5060"/>
      </w:tblGrid>
      <w:tblPr>
        <w:tblStyle w:val="TableGrid"/>
        <w:tblW w:type="dxa" w:w="9360"/>
        <w:jc w:val="left"/>
        <w:tblLook w:firstColumn="1" w:firstRow="1" w:lastColumn="0" w:lastRow="0" w:noHBand="0" w:noVBand="1" w:val="04A0"/>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Pr>
      <w:tr>
        <w:tc>
          <w:tcPr>
            <w:tcW w:type="dxa" w:w="1600"/>
            <w:shd w:fill="E8EEF5"/>
            <w:vAlign w:val="center"/>
          </w:tcPr>
          <w:p>
            <w:pPr>
              <w:spacing w:after="0"/>
              <w:jc w:val="center"/>
            </w:pPr>
            <w:r/>
            <w:r>
              <w:rPr>
                <w:rFonts w:ascii="Microsoft YaHei" w:hAnsi="Microsoft YaHei" w:eastAsia="Microsoft YaHei"/>
                <w:b/>
                <w:color w:val="0F172A"/>
                <w:sz w:val="16"/>
              </w:rPr>
              <w:t>场景</w:t>
            </w:r>
          </w:p>
        </w:tc>
        <w:tc>
          <w:tcPr>
            <w:tcW w:type="dxa" w:w="1500"/>
            <w:shd w:fill="E8EEF5"/>
            <w:vAlign w:val="center"/>
          </w:tcPr>
          <w:p>
            <w:pPr>
              <w:spacing w:after="0"/>
              <w:jc w:val="center"/>
            </w:pPr>
            <w:r/>
            <w:r>
              <w:rPr>
                <w:rFonts w:ascii="Microsoft YaHei" w:hAnsi="Microsoft YaHei" w:eastAsia="Microsoft YaHei"/>
                <w:b/>
                <w:color w:val="0F172A"/>
                <w:sz w:val="16"/>
              </w:rPr>
              <w:t>阶段</w:t>
            </w:r>
          </w:p>
        </w:tc>
        <w:tc>
          <w:tcPr>
            <w:tcW w:type="dxa" w:w="1200"/>
            <w:shd w:fill="E8EEF5"/>
            <w:vAlign w:val="center"/>
          </w:tcPr>
          <w:p>
            <w:pPr>
              <w:spacing w:after="0"/>
              <w:jc w:val="center"/>
            </w:pPr>
            <w:r/>
            <w:r>
              <w:rPr>
                <w:rFonts w:ascii="Microsoft YaHei" w:hAnsi="Microsoft YaHei" w:eastAsia="Microsoft YaHei"/>
                <w:b/>
                <w:color w:val="0F172A"/>
                <w:sz w:val="16"/>
              </w:rPr>
              <w:t>状态</w:t>
            </w:r>
          </w:p>
        </w:tc>
        <w:tc>
          <w:tcPr>
            <w:tcW w:type="dxa" w:w="5060"/>
            <w:shd w:fill="E8EEF5"/>
            <w:vAlign w:val="center"/>
          </w:tcPr>
          <w:p>
            <w:pPr>
              <w:spacing w:after="0"/>
              <w:jc w:val="center"/>
            </w:pPr>
            <w:r/>
            <w:r>
              <w:rPr>
                <w:rFonts w:ascii="Microsoft YaHei" w:hAnsi="Microsoft YaHei" w:eastAsia="Microsoft YaHei"/>
                <w:b/>
                <w:color w:val="0F172A"/>
                <w:sz w:val="16"/>
              </w:rPr>
              <w:t>概要示例</w:t>
            </w:r>
          </w:p>
        </w:tc>
      </w:tr>
      <w:tr>
        <w:tc>
          <w:tcPr>
            <w:tcW w:type="dxa" w:w="1600"/>
            <w:vAlign w:val="center"/>
          </w:tcPr>
          <w:p>
            <w:pPr>
              <w:spacing w:after="0"/>
              <w:jc w:val="left"/>
            </w:pPr>
            <w:r/>
            <w:r>
              <w:rPr>
                <w:rFonts w:ascii="Microsoft YaHei" w:hAnsi="Microsoft YaHei" w:eastAsia="Microsoft YaHei"/>
                <w:b w:val="0"/>
                <w:color w:val="1F2937"/>
                <w:sz w:val="16"/>
              </w:rPr>
              <w:t>黑飞无人机入侵</w:t>
            </w:r>
          </w:p>
        </w:tc>
        <w:tc>
          <w:tcPr>
            <w:tcW w:type="dxa" w:w="1500"/>
            <w:vAlign w:val="center"/>
          </w:tcPr>
          <w:p>
            <w:pPr>
              <w:spacing w:after="0"/>
              <w:jc w:val="left"/>
            </w:pPr>
            <w:r/>
            <w:r>
              <w:rPr>
                <w:rFonts w:ascii="Microsoft YaHei" w:hAnsi="Microsoft YaHei" w:eastAsia="Microsoft YaHei"/>
                <w:b w:val="0"/>
                <w:color w:val="1F2937"/>
                <w:sz w:val="16"/>
              </w:rPr>
              <w:t>设备发现</w:t>
            </w:r>
          </w:p>
        </w:tc>
        <w:tc>
          <w:tcPr>
            <w:tcW w:type="dxa" w:w="1200"/>
            <w:vAlign w:val="center"/>
          </w:tcPr>
          <w:p>
            <w:pPr>
              <w:spacing w:after="0"/>
              <w:jc w:val="left"/>
            </w:pPr>
            <w:r/>
            <w:r>
              <w:rPr>
                <w:rFonts w:ascii="Microsoft YaHei" w:hAnsi="Microsoft YaHei" w:eastAsia="Microsoft YaHei"/>
                <w:b w:val="0"/>
                <w:color w:val="1F2937"/>
                <w:sz w:val="16"/>
              </w:rPr>
              <w:t>已完成</w:t>
            </w:r>
          </w:p>
        </w:tc>
        <w:tc>
          <w:tcPr>
            <w:tcW w:type="dxa" w:w="5060"/>
            <w:vAlign w:val="center"/>
          </w:tcPr>
          <w:p>
            <w:pPr>
              <w:spacing w:after="0"/>
              <w:jc w:val="left"/>
            </w:pPr>
            <w:r/>
            <w:r>
              <w:rPr>
                <w:rFonts w:ascii="Microsoft YaHei" w:hAnsi="Microsoft YaHei" w:eastAsia="Microsoft YaHei"/>
                <w:b w:val="0"/>
                <w:color w:val="1F2937"/>
                <w:sz w:val="16"/>
              </w:rPr>
              <w:t>[2026-06-25 14:22:31] 雷达-01、无线电侦测-02发现疑似低空目标，已形成原始探测记录。</w:t>
            </w:r>
          </w:p>
        </w:tc>
      </w:tr>
      <w:tr>
        <w:tc>
          <w:tcPr>
            <w:tcW w:type="dxa" w:w="1600"/>
            <w:vAlign w:val="center"/>
          </w:tcPr>
          <w:p>
            <w:pPr>
              <w:spacing w:after="0"/>
              <w:jc w:val="left"/>
            </w:pPr>
            <w:r/>
            <w:r>
              <w:rPr>
                <w:rFonts w:ascii="Microsoft YaHei" w:hAnsi="Microsoft YaHei" w:eastAsia="Microsoft YaHei"/>
                <w:b w:val="0"/>
                <w:color w:val="1F2937"/>
                <w:sz w:val="16"/>
              </w:rPr>
              <w:t>黑飞无人机入侵</w:t>
            </w:r>
          </w:p>
        </w:tc>
        <w:tc>
          <w:tcPr>
            <w:tcW w:type="dxa" w:w="1500"/>
            <w:vAlign w:val="center"/>
          </w:tcPr>
          <w:p>
            <w:pPr>
              <w:spacing w:after="0"/>
              <w:jc w:val="left"/>
            </w:pPr>
            <w:r/>
            <w:r>
              <w:rPr>
                <w:rFonts w:ascii="Microsoft YaHei" w:hAnsi="Microsoft YaHei" w:eastAsia="Microsoft YaHei"/>
                <w:b w:val="0"/>
                <w:color w:val="1F2937"/>
                <w:sz w:val="16"/>
              </w:rPr>
              <w:t>威胁识别</w:t>
            </w:r>
          </w:p>
        </w:tc>
        <w:tc>
          <w:tcPr>
            <w:tcW w:type="dxa" w:w="1200"/>
            <w:vAlign w:val="center"/>
          </w:tcPr>
          <w:p>
            <w:pPr>
              <w:spacing w:after="0"/>
              <w:jc w:val="left"/>
            </w:pPr>
            <w:r/>
            <w:r>
              <w:rPr>
                <w:rFonts w:ascii="Microsoft YaHei" w:hAnsi="Microsoft YaHei" w:eastAsia="Microsoft YaHei"/>
                <w:b w:val="0"/>
                <w:color w:val="1F2937"/>
                <w:sz w:val="16"/>
              </w:rPr>
              <w:t>已完成</w:t>
            </w:r>
          </w:p>
        </w:tc>
        <w:tc>
          <w:tcPr>
            <w:tcW w:type="dxa" w:w="5060"/>
            <w:vAlign w:val="center"/>
          </w:tcPr>
          <w:p>
            <w:pPr>
              <w:spacing w:after="0"/>
              <w:jc w:val="left"/>
            </w:pPr>
            <w:r/>
            <w:r>
              <w:rPr>
                <w:rFonts w:ascii="Microsoft YaHei" w:hAnsi="Microsoft YaHei" w:eastAsia="Microsoft YaHei"/>
                <w:b w:val="0"/>
                <w:color w:val="1F2937"/>
                <w:sz w:val="16"/>
              </w:rPr>
              <w:t>[2026-06-25 14:23:08] 完成目标识别，判定为无人机，身份属性为非合作式黑飞目标。</w:t>
            </w:r>
          </w:p>
        </w:tc>
      </w:tr>
      <w:tr>
        <w:tc>
          <w:tcPr>
            <w:tcW w:type="dxa" w:w="1600"/>
            <w:vAlign w:val="center"/>
          </w:tcPr>
          <w:p>
            <w:pPr>
              <w:spacing w:after="0"/>
              <w:jc w:val="left"/>
            </w:pPr>
            <w:r/>
            <w:r>
              <w:rPr>
                <w:rFonts w:ascii="Microsoft YaHei" w:hAnsi="Microsoft YaHei" w:eastAsia="Microsoft YaHei"/>
                <w:b w:val="0"/>
                <w:color w:val="1F2937"/>
                <w:sz w:val="16"/>
              </w:rPr>
              <w:t>黑飞无人机入侵</w:t>
            </w:r>
          </w:p>
        </w:tc>
        <w:tc>
          <w:tcPr>
            <w:tcW w:type="dxa" w:w="1500"/>
            <w:vAlign w:val="center"/>
          </w:tcPr>
          <w:p>
            <w:pPr>
              <w:spacing w:after="0"/>
              <w:jc w:val="left"/>
            </w:pPr>
            <w:r/>
            <w:r>
              <w:rPr>
                <w:rFonts w:ascii="Microsoft YaHei" w:hAnsi="Microsoft YaHei" w:eastAsia="Microsoft YaHei"/>
                <w:b w:val="0"/>
                <w:color w:val="1F2937"/>
                <w:sz w:val="16"/>
              </w:rPr>
              <w:t>威胁评估</w:t>
            </w:r>
          </w:p>
        </w:tc>
        <w:tc>
          <w:tcPr>
            <w:tcW w:type="dxa" w:w="1200"/>
            <w:vAlign w:val="center"/>
          </w:tcPr>
          <w:p>
            <w:pPr>
              <w:spacing w:after="0"/>
              <w:jc w:val="left"/>
            </w:pPr>
            <w:r/>
            <w:r>
              <w:rPr>
                <w:rFonts w:ascii="Microsoft YaHei" w:hAnsi="Microsoft YaHei" w:eastAsia="Microsoft YaHei"/>
                <w:b w:val="0"/>
                <w:color w:val="1F2937"/>
                <w:sz w:val="16"/>
              </w:rPr>
              <w:t>已完成</w:t>
            </w:r>
          </w:p>
        </w:tc>
        <w:tc>
          <w:tcPr>
            <w:tcW w:type="dxa" w:w="5060"/>
            <w:vAlign w:val="center"/>
          </w:tcPr>
          <w:p>
            <w:pPr>
              <w:spacing w:after="0"/>
              <w:jc w:val="left"/>
            </w:pPr>
            <w:r/>
            <w:r>
              <w:rPr>
                <w:rFonts w:ascii="Microsoft YaHei" w:hAnsi="Microsoft YaHei" w:eastAsia="Microsoft YaHei"/>
                <w:b w:val="0"/>
                <w:color w:val="1F2937"/>
                <w:sz w:val="16"/>
              </w:rPr>
              <w:t>[2026-06-25 14:23:15] 根据威胁评估规则，目标命中2项条件，评估结果为高。</w:t>
            </w:r>
          </w:p>
        </w:tc>
      </w:tr>
      <w:tr>
        <w:tc>
          <w:tcPr>
            <w:tcW w:type="dxa" w:w="1600"/>
            <w:vAlign w:val="center"/>
          </w:tcPr>
          <w:p>
            <w:pPr>
              <w:spacing w:after="0"/>
              <w:jc w:val="left"/>
            </w:pPr>
            <w:r/>
            <w:r>
              <w:rPr>
                <w:rFonts w:ascii="Microsoft YaHei" w:hAnsi="Microsoft YaHei" w:eastAsia="Microsoft YaHei"/>
                <w:b w:val="0"/>
                <w:color w:val="1F2937"/>
                <w:sz w:val="16"/>
              </w:rPr>
              <w:t>黑飞无人机入侵</w:t>
            </w:r>
          </w:p>
        </w:tc>
        <w:tc>
          <w:tcPr>
            <w:tcW w:type="dxa" w:w="1500"/>
            <w:vAlign w:val="center"/>
          </w:tcPr>
          <w:p>
            <w:pPr>
              <w:spacing w:after="0"/>
              <w:jc w:val="left"/>
            </w:pPr>
            <w:r/>
            <w:r>
              <w:rPr>
                <w:rFonts w:ascii="Microsoft YaHei" w:hAnsi="Microsoft YaHei" w:eastAsia="Microsoft YaHei"/>
                <w:b w:val="0"/>
                <w:color w:val="1F2937"/>
                <w:sz w:val="16"/>
              </w:rPr>
              <w:t>处置执行</w:t>
            </w:r>
          </w:p>
        </w:tc>
        <w:tc>
          <w:tcPr>
            <w:tcW w:type="dxa" w:w="1200"/>
            <w:vAlign w:val="center"/>
          </w:tcPr>
          <w:p>
            <w:pPr>
              <w:spacing w:after="0"/>
              <w:jc w:val="left"/>
            </w:pPr>
            <w:r/>
            <w:r>
              <w:rPr>
                <w:rFonts w:ascii="Microsoft YaHei" w:hAnsi="Microsoft YaHei" w:eastAsia="Microsoft YaHei"/>
                <w:b w:val="0"/>
                <w:color w:val="1F2937"/>
                <w:sz w:val="16"/>
              </w:rPr>
              <w:t>已完成</w:t>
            </w:r>
          </w:p>
        </w:tc>
        <w:tc>
          <w:tcPr>
            <w:tcW w:type="dxa" w:w="5060"/>
            <w:vAlign w:val="center"/>
          </w:tcPr>
          <w:p>
            <w:pPr>
              <w:spacing w:after="0"/>
              <w:jc w:val="left"/>
            </w:pPr>
            <w:r/>
            <w:r>
              <w:rPr>
                <w:rFonts w:ascii="Microsoft YaHei" w:hAnsi="Microsoft YaHei" w:eastAsia="Microsoft YaHei"/>
                <w:b w:val="0"/>
                <w:color w:val="1F2937"/>
                <w:sz w:val="16"/>
              </w:rPr>
              <w:t>[2026-06-25 14:23:18] 命中预案策略“核心区黑飞无人机反制”，已联动1台反制设备执行定向驱离。</w:t>
            </w:r>
          </w:p>
        </w:tc>
      </w:tr>
      <w:tr>
        <w:tc>
          <w:tcPr>
            <w:tcW w:type="dxa" w:w="1600"/>
            <w:vAlign w:val="center"/>
          </w:tcPr>
          <w:p>
            <w:pPr>
              <w:spacing w:after="0"/>
              <w:jc w:val="left"/>
            </w:pPr>
            <w:r/>
            <w:r>
              <w:rPr>
                <w:rFonts w:ascii="Microsoft YaHei" w:hAnsi="Microsoft YaHei" w:eastAsia="Microsoft YaHei"/>
                <w:b w:val="0"/>
                <w:color w:val="1F2937"/>
                <w:sz w:val="16"/>
              </w:rPr>
              <w:t>黑名单无人机入侵</w:t>
            </w:r>
          </w:p>
        </w:tc>
        <w:tc>
          <w:tcPr>
            <w:tcW w:type="dxa" w:w="1500"/>
            <w:vAlign w:val="center"/>
          </w:tcPr>
          <w:p>
            <w:pPr>
              <w:spacing w:after="0"/>
              <w:jc w:val="left"/>
            </w:pPr>
            <w:r/>
            <w:r>
              <w:rPr>
                <w:rFonts w:ascii="Microsoft YaHei" w:hAnsi="Microsoft YaHei" w:eastAsia="Microsoft YaHei"/>
                <w:b w:val="0"/>
                <w:color w:val="1F2937"/>
                <w:sz w:val="16"/>
              </w:rPr>
              <w:t>威胁识别</w:t>
            </w:r>
          </w:p>
        </w:tc>
        <w:tc>
          <w:tcPr>
            <w:tcW w:type="dxa" w:w="1200"/>
            <w:vAlign w:val="center"/>
          </w:tcPr>
          <w:p>
            <w:pPr>
              <w:spacing w:after="0"/>
              <w:jc w:val="left"/>
            </w:pPr>
            <w:r/>
            <w:r>
              <w:rPr>
                <w:rFonts w:ascii="Microsoft YaHei" w:hAnsi="Microsoft YaHei" w:eastAsia="Microsoft YaHei"/>
                <w:b w:val="0"/>
                <w:color w:val="1F2937"/>
                <w:sz w:val="16"/>
              </w:rPr>
              <w:t>已完成</w:t>
            </w:r>
          </w:p>
        </w:tc>
        <w:tc>
          <w:tcPr>
            <w:tcW w:type="dxa" w:w="5060"/>
            <w:vAlign w:val="center"/>
          </w:tcPr>
          <w:p>
            <w:pPr>
              <w:spacing w:after="0"/>
              <w:jc w:val="left"/>
            </w:pPr>
            <w:r/>
            <w:r>
              <w:rPr>
                <w:rFonts w:ascii="Microsoft YaHei" w:hAnsi="Microsoft YaHei" w:eastAsia="Microsoft YaHei"/>
                <w:b w:val="0"/>
                <w:color w:val="1F2937"/>
                <w:sz w:val="16"/>
              </w:rPr>
              <w:t>[2026-06-25 15:10:08] 完成目标识别，判定为合作式无人机，身份属性为黑名单目标。</w:t>
            </w:r>
          </w:p>
        </w:tc>
      </w:tr>
      <w:tr>
        <w:tc>
          <w:tcPr>
            <w:tcW w:type="dxa" w:w="1600"/>
            <w:vAlign w:val="center"/>
          </w:tcPr>
          <w:p>
            <w:pPr>
              <w:spacing w:after="0"/>
              <w:jc w:val="left"/>
            </w:pPr>
            <w:r/>
            <w:r>
              <w:rPr>
                <w:rFonts w:ascii="Microsoft YaHei" w:hAnsi="Microsoft YaHei" w:eastAsia="Microsoft YaHei"/>
                <w:b w:val="0"/>
                <w:color w:val="1F2937"/>
                <w:sz w:val="16"/>
              </w:rPr>
              <w:t>白名单无人机</w:t>
            </w:r>
          </w:p>
        </w:tc>
        <w:tc>
          <w:tcPr>
            <w:tcW w:type="dxa" w:w="1500"/>
            <w:vAlign w:val="center"/>
          </w:tcPr>
          <w:p>
            <w:pPr>
              <w:spacing w:after="0"/>
              <w:jc w:val="left"/>
            </w:pPr>
            <w:r/>
            <w:r>
              <w:rPr>
                <w:rFonts w:ascii="Microsoft YaHei" w:hAnsi="Microsoft YaHei" w:eastAsia="Microsoft YaHei"/>
                <w:b w:val="0"/>
                <w:color w:val="1F2937"/>
                <w:sz w:val="16"/>
              </w:rPr>
              <w:t>处置执行</w:t>
            </w:r>
          </w:p>
        </w:tc>
        <w:tc>
          <w:tcPr>
            <w:tcW w:type="dxa" w:w="1200"/>
            <w:vAlign w:val="center"/>
          </w:tcPr>
          <w:p>
            <w:pPr>
              <w:spacing w:after="0"/>
              <w:jc w:val="left"/>
            </w:pPr>
            <w:r/>
            <w:r>
              <w:rPr>
                <w:rFonts w:ascii="Microsoft YaHei" w:hAnsi="Microsoft YaHei" w:eastAsia="Microsoft YaHei"/>
                <w:b w:val="0"/>
                <w:color w:val="1F2937"/>
                <w:sz w:val="16"/>
              </w:rPr>
              <w:t>未触发</w:t>
            </w:r>
          </w:p>
        </w:tc>
        <w:tc>
          <w:tcPr>
            <w:tcW w:type="dxa" w:w="5060"/>
            <w:vAlign w:val="center"/>
          </w:tcPr>
          <w:p>
            <w:pPr>
              <w:spacing w:after="0"/>
              <w:jc w:val="left"/>
            </w:pPr>
            <w:r/>
            <w:r>
              <w:rPr>
                <w:rFonts w:ascii="Microsoft YaHei" w:hAnsi="Microsoft YaHei" w:eastAsia="Microsoft YaHei"/>
                <w:b w:val="0"/>
                <w:color w:val="1F2937"/>
                <w:sz w:val="16"/>
              </w:rPr>
              <w:t>[2026-06-25 16:08:20] 未命中反制预案，未下发处置指令；原因：白名单目标且未触发异常行为条件。</w:t>
            </w:r>
          </w:p>
        </w:tc>
      </w:tr>
      <w:tr>
        <w:tc>
          <w:tcPr>
            <w:tcW w:type="dxa" w:w="1600"/>
            <w:vAlign w:val="center"/>
          </w:tcPr>
          <w:p>
            <w:pPr>
              <w:spacing w:after="0"/>
              <w:jc w:val="left"/>
            </w:pPr>
            <w:r/>
            <w:r>
              <w:rPr>
                <w:rFonts w:ascii="Microsoft YaHei" w:hAnsi="Microsoft YaHei" w:eastAsia="Microsoft YaHei"/>
                <w:b w:val="0"/>
                <w:color w:val="1F2937"/>
                <w:sz w:val="16"/>
              </w:rPr>
              <w:t>飞鸟扰动</w:t>
            </w:r>
          </w:p>
        </w:tc>
        <w:tc>
          <w:tcPr>
            <w:tcW w:type="dxa" w:w="1500"/>
            <w:vAlign w:val="center"/>
          </w:tcPr>
          <w:p>
            <w:pPr>
              <w:spacing w:after="0"/>
              <w:jc w:val="left"/>
            </w:pPr>
            <w:r/>
            <w:r>
              <w:rPr>
                <w:rFonts w:ascii="Microsoft YaHei" w:hAnsi="Microsoft YaHei" w:eastAsia="Microsoft YaHei"/>
                <w:b w:val="0"/>
                <w:color w:val="1F2937"/>
                <w:sz w:val="16"/>
              </w:rPr>
              <w:t>威胁识别</w:t>
            </w:r>
          </w:p>
        </w:tc>
        <w:tc>
          <w:tcPr>
            <w:tcW w:type="dxa" w:w="1200"/>
            <w:vAlign w:val="center"/>
          </w:tcPr>
          <w:p>
            <w:pPr>
              <w:spacing w:after="0"/>
              <w:jc w:val="left"/>
            </w:pPr>
            <w:r/>
            <w:r>
              <w:rPr>
                <w:rFonts w:ascii="Microsoft YaHei" w:hAnsi="Microsoft YaHei" w:eastAsia="Microsoft YaHei"/>
                <w:b w:val="0"/>
                <w:color w:val="1F2937"/>
                <w:sz w:val="16"/>
              </w:rPr>
              <w:t>已完成</w:t>
            </w:r>
          </w:p>
        </w:tc>
        <w:tc>
          <w:tcPr>
            <w:tcW w:type="dxa" w:w="5060"/>
            <w:vAlign w:val="center"/>
          </w:tcPr>
          <w:p>
            <w:pPr>
              <w:spacing w:after="0"/>
              <w:jc w:val="left"/>
            </w:pPr>
            <w:r/>
            <w:r>
              <w:rPr>
                <w:rFonts w:ascii="Microsoft YaHei" w:hAnsi="Microsoft YaHei" w:eastAsia="Microsoft YaHei"/>
                <w:b w:val="0"/>
                <w:color w:val="1F2937"/>
                <w:sz w:val="16"/>
              </w:rPr>
              <w:t>[2026-06-25 17:31:11] 完成目标识别，判定为飞鸟扰动，身份属性为非无人机目标。</w:t>
            </w:r>
          </w:p>
        </w:tc>
      </w:tr>
      <w:tr>
        <w:tc>
          <w:tcPr>
            <w:tcW w:type="dxa" w:w="1600"/>
            <w:vAlign w:val="center"/>
          </w:tcPr>
          <w:p>
            <w:pPr>
              <w:spacing w:after="0"/>
              <w:jc w:val="left"/>
            </w:pPr>
            <w:r/>
            <w:r>
              <w:rPr>
                <w:rFonts w:ascii="Microsoft YaHei" w:hAnsi="Microsoft YaHei" w:eastAsia="Microsoft YaHei"/>
                <w:b w:val="0"/>
                <w:color w:val="1F2937"/>
                <w:sz w:val="16"/>
              </w:rPr>
              <w:t>飞鸟扰动</w:t>
            </w:r>
          </w:p>
        </w:tc>
        <w:tc>
          <w:tcPr>
            <w:tcW w:type="dxa" w:w="1500"/>
            <w:vAlign w:val="center"/>
          </w:tcPr>
          <w:p>
            <w:pPr>
              <w:spacing w:after="0"/>
              <w:jc w:val="left"/>
            </w:pPr>
            <w:r/>
            <w:r>
              <w:rPr>
                <w:rFonts w:ascii="Microsoft YaHei" w:hAnsi="Microsoft YaHei" w:eastAsia="Microsoft YaHei"/>
                <w:b w:val="0"/>
                <w:color w:val="1F2937"/>
                <w:sz w:val="16"/>
              </w:rPr>
              <w:t>处置结果</w:t>
            </w:r>
          </w:p>
        </w:tc>
        <w:tc>
          <w:tcPr>
            <w:tcW w:type="dxa" w:w="1200"/>
            <w:vAlign w:val="center"/>
          </w:tcPr>
          <w:p>
            <w:pPr>
              <w:spacing w:after="0"/>
              <w:jc w:val="left"/>
            </w:pPr>
            <w:r/>
            <w:r>
              <w:rPr>
                <w:rFonts w:ascii="Microsoft YaHei" w:hAnsi="Microsoft YaHei" w:eastAsia="Microsoft YaHei"/>
                <w:b w:val="0"/>
                <w:color w:val="1F2937"/>
                <w:sz w:val="16"/>
              </w:rPr>
              <w:t>已完成</w:t>
            </w:r>
          </w:p>
        </w:tc>
        <w:tc>
          <w:tcPr>
            <w:tcW w:type="dxa" w:w="5060"/>
            <w:vAlign w:val="center"/>
          </w:tcPr>
          <w:p>
            <w:pPr>
              <w:spacing w:after="0"/>
              <w:jc w:val="left"/>
            </w:pPr>
            <w:r/>
            <w:r>
              <w:rPr>
                <w:rFonts w:ascii="Microsoft YaHei" w:hAnsi="Microsoft YaHei" w:eastAsia="Microsoft YaHei"/>
                <w:b w:val="0"/>
                <w:color w:val="1F2937"/>
                <w:sz w:val="16"/>
              </w:rPr>
              <w:t>[2026-06-25 17:31:42] 事件已闭环，最终结果为飞鸟扰动排除。</w:t>
            </w:r>
          </w:p>
        </w:tc>
      </w:tr>
    </w:tbl>
    <w:p/>
    <w:p>
      <w:pPr>
        <w:pStyle w:val="Heading1"/>
      </w:pPr>
      <w:r>
        <w:rPr>
          <w:rFonts w:ascii="Microsoft YaHei" w:hAnsi="Microsoft YaHei" w:eastAsia="Microsoft YaHei"/>
          <w:color w:val="2E74B5"/>
        </w:rPr>
        <w:t>十、与详情页其他区域的冗余控制</w:t>
      </w:r>
    </w:p>
    <w:p>
      <w:pPr>
        <w:spacing w:after="120" w:line="300" w:lineRule="auto"/>
      </w:pPr>
      <w:r>
        <w:rPr>
          <w:rFonts w:ascii="Microsoft YaHei" w:hAnsi="Microsoft YaHei" w:eastAsia="Microsoft YaHei"/>
          <w:color w:val="1F2937"/>
          <w:sz w:val="21"/>
        </w:rPr>
        <w:t>基本信息区展示事件快照，时间链展示阶段过程。若两个区域出现同一字段，时间链应仅保留该字段对阶段判断有解释作用的部分。</w:t>
      </w:r>
    </w:p>
    <w:tbl>
      <w:tblGrid>
        <w:gridCol w:w="2200"/>
        <w:gridCol w:w="3600"/>
        <w:gridCol w:w="3560"/>
      </w:tblGrid>
      <w:tblPr>
        <w:tblStyle w:val="TableGrid"/>
        <w:tblW w:type="dxa" w:w="9360"/>
        <w:jc w:val="left"/>
        <w:tblLook w:firstColumn="1" w:firstRow="1" w:lastColumn="0" w:lastRow="0" w:noHBand="0" w:noVBand="1" w:val="04A0"/>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Pr>
      <w:tr>
        <w:tc>
          <w:tcPr>
            <w:tcW w:type="dxa" w:w="2200"/>
            <w:shd w:fill="E8EEF5"/>
            <w:vAlign w:val="center"/>
          </w:tcPr>
          <w:p>
            <w:pPr>
              <w:spacing w:after="0"/>
              <w:jc w:val="center"/>
            </w:pPr>
            <w:r/>
            <w:r>
              <w:rPr>
                <w:rFonts w:ascii="Microsoft YaHei" w:hAnsi="Microsoft YaHei" w:eastAsia="Microsoft YaHei"/>
                <w:b/>
                <w:color w:val="0F172A"/>
                <w:sz w:val="18"/>
              </w:rPr>
              <w:t>信息类型</w:t>
            </w:r>
          </w:p>
        </w:tc>
        <w:tc>
          <w:tcPr>
            <w:tcW w:type="dxa" w:w="3600"/>
            <w:shd w:fill="E8EEF5"/>
            <w:vAlign w:val="center"/>
          </w:tcPr>
          <w:p>
            <w:pPr>
              <w:spacing w:after="0"/>
              <w:jc w:val="center"/>
            </w:pPr>
            <w:r/>
            <w:r>
              <w:rPr>
                <w:rFonts w:ascii="Microsoft YaHei" w:hAnsi="Microsoft YaHei" w:eastAsia="Microsoft YaHei"/>
                <w:b/>
                <w:color w:val="0F172A"/>
                <w:sz w:val="18"/>
              </w:rPr>
              <w:t>基本信息区</w:t>
            </w:r>
          </w:p>
        </w:tc>
        <w:tc>
          <w:tcPr>
            <w:tcW w:type="dxa" w:w="3560"/>
            <w:shd w:fill="E8EEF5"/>
            <w:vAlign w:val="center"/>
          </w:tcPr>
          <w:p>
            <w:pPr>
              <w:spacing w:after="0"/>
              <w:jc w:val="center"/>
            </w:pPr>
            <w:r/>
            <w:r>
              <w:rPr>
                <w:rFonts w:ascii="Microsoft YaHei" w:hAnsi="Microsoft YaHei" w:eastAsia="Microsoft YaHei"/>
                <w:b/>
                <w:color w:val="0F172A"/>
                <w:sz w:val="18"/>
              </w:rPr>
              <w:t>时间链</w:t>
            </w:r>
          </w:p>
        </w:tc>
      </w:tr>
      <w:tr>
        <w:tc>
          <w:tcPr>
            <w:tcW w:type="dxa" w:w="2200"/>
            <w:vAlign w:val="center"/>
          </w:tcPr>
          <w:p>
            <w:pPr>
              <w:spacing w:after="0"/>
              <w:jc w:val="left"/>
            </w:pPr>
            <w:r/>
            <w:r>
              <w:rPr>
                <w:rFonts w:ascii="Microsoft YaHei" w:hAnsi="Microsoft YaHei" w:eastAsia="Microsoft YaHei"/>
                <w:b w:val="0"/>
                <w:color w:val="1F2937"/>
                <w:sz w:val="18"/>
              </w:rPr>
              <w:t>目标ID、识别码、型号</w:t>
            </w:r>
          </w:p>
        </w:tc>
        <w:tc>
          <w:tcPr>
            <w:tcW w:type="dxa" w:w="3600"/>
            <w:vAlign w:val="center"/>
          </w:tcPr>
          <w:p>
            <w:pPr>
              <w:spacing w:after="0"/>
              <w:jc w:val="left"/>
            </w:pPr>
            <w:r/>
            <w:r>
              <w:rPr>
                <w:rFonts w:ascii="Microsoft YaHei" w:hAnsi="Microsoft YaHei" w:eastAsia="Microsoft YaHei"/>
                <w:b w:val="0"/>
                <w:color w:val="1F2937"/>
                <w:sz w:val="18"/>
              </w:rPr>
              <w:t>完整展示</w:t>
            </w:r>
          </w:p>
        </w:tc>
        <w:tc>
          <w:tcPr>
            <w:tcW w:type="dxa" w:w="3560"/>
            <w:vAlign w:val="center"/>
          </w:tcPr>
          <w:p>
            <w:pPr>
              <w:spacing w:after="0"/>
              <w:jc w:val="left"/>
            </w:pPr>
            <w:r/>
            <w:r>
              <w:rPr>
                <w:rFonts w:ascii="Microsoft YaHei" w:hAnsi="Microsoft YaHei" w:eastAsia="Microsoft YaHei"/>
                <w:b w:val="0"/>
                <w:color w:val="1F2937"/>
                <w:sz w:val="18"/>
              </w:rPr>
              <w:t>仅在设备发现或识别阶段作为辅助详情，不进入概要。</w:t>
            </w:r>
          </w:p>
        </w:tc>
      </w:tr>
      <w:tr>
        <w:tc>
          <w:tcPr>
            <w:tcW w:type="dxa" w:w="2200"/>
            <w:vAlign w:val="center"/>
          </w:tcPr>
          <w:p>
            <w:pPr>
              <w:spacing w:after="0"/>
              <w:jc w:val="left"/>
            </w:pPr>
            <w:r/>
            <w:r>
              <w:rPr>
                <w:rFonts w:ascii="Microsoft YaHei" w:hAnsi="Microsoft YaHei" w:eastAsia="Microsoft YaHei"/>
                <w:b w:val="0"/>
                <w:color w:val="1F2937"/>
                <w:sz w:val="18"/>
              </w:rPr>
              <w:t>威胁等级</w:t>
            </w:r>
          </w:p>
        </w:tc>
        <w:tc>
          <w:tcPr>
            <w:tcW w:type="dxa" w:w="3600"/>
            <w:vAlign w:val="center"/>
          </w:tcPr>
          <w:p>
            <w:pPr>
              <w:spacing w:after="0"/>
              <w:jc w:val="left"/>
            </w:pPr>
            <w:r/>
            <w:r>
              <w:rPr>
                <w:rFonts w:ascii="Microsoft YaHei" w:hAnsi="Microsoft YaHei" w:eastAsia="Microsoft YaHei"/>
                <w:b w:val="0"/>
                <w:color w:val="1F2937"/>
                <w:sz w:val="18"/>
              </w:rPr>
              <w:t>展示最终等级</w:t>
            </w:r>
          </w:p>
        </w:tc>
        <w:tc>
          <w:tcPr>
            <w:tcW w:type="dxa" w:w="3560"/>
            <w:vAlign w:val="center"/>
          </w:tcPr>
          <w:p>
            <w:pPr>
              <w:spacing w:after="0"/>
              <w:jc w:val="left"/>
            </w:pPr>
            <w:r/>
            <w:r>
              <w:rPr>
                <w:rFonts w:ascii="Microsoft YaHei" w:hAnsi="Microsoft YaHei" w:eastAsia="Microsoft YaHei"/>
                <w:b w:val="0"/>
                <w:color w:val="1F2937"/>
                <w:sz w:val="18"/>
              </w:rPr>
              <w:t>展示等级产生原因，例如命中规则和评估依据。</w:t>
            </w:r>
          </w:p>
        </w:tc>
      </w:tr>
      <w:tr>
        <w:tc>
          <w:tcPr>
            <w:tcW w:type="dxa" w:w="2200"/>
            <w:vAlign w:val="center"/>
          </w:tcPr>
          <w:p>
            <w:pPr>
              <w:spacing w:after="0"/>
              <w:jc w:val="left"/>
            </w:pPr>
            <w:r/>
            <w:r>
              <w:rPr>
                <w:rFonts w:ascii="Microsoft YaHei" w:hAnsi="Microsoft YaHei" w:eastAsia="Microsoft YaHei"/>
                <w:b w:val="0"/>
                <w:color w:val="1F2937"/>
                <w:sz w:val="18"/>
              </w:rPr>
              <w:t>反制设备</w:t>
            </w:r>
          </w:p>
        </w:tc>
        <w:tc>
          <w:tcPr>
            <w:tcW w:type="dxa" w:w="3600"/>
            <w:vAlign w:val="center"/>
          </w:tcPr>
          <w:p>
            <w:pPr>
              <w:spacing w:after="0"/>
              <w:jc w:val="left"/>
            </w:pPr>
            <w:r/>
            <w:r>
              <w:rPr>
                <w:rFonts w:ascii="Microsoft YaHei" w:hAnsi="Microsoft YaHei" w:eastAsia="Microsoft YaHei"/>
                <w:b w:val="0"/>
                <w:color w:val="1F2937"/>
                <w:sz w:val="18"/>
              </w:rPr>
              <w:t>展示最终联动设备</w:t>
            </w:r>
          </w:p>
        </w:tc>
        <w:tc>
          <w:tcPr>
            <w:tcW w:type="dxa" w:w="3560"/>
            <w:vAlign w:val="center"/>
          </w:tcPr>
          <w:p>
            <w:pPr>
              <w:spacing w:after="0"/>
              <w:jc w:val="left"/>
            </w:pPr>
            <w:r/>
            <w:r>
              <w:rPr>
                <w:rFonts w:ascii="Microsoft YaHei" w:hAnsi="Microsoft YaHei" w:eastAsia="Microsoft YaHei"/>
                <w:b w:val="0"/>
                <w:color w:val="1F2937"/>
                <w:sz w:val="18"/>
              </w:rPr>
              <w:t>展示命中策略、动作和指令状态。</w:t>
            </w:r>
          </w:p>
        </w:tc>
      </w:tr>
      <w:tr>
        <w:tc>
          <w:tcPr>
            <w:tcW w:type="dxa" w:w="2200"/>
            <w:vAlign w:val="center"/>
          </w:tcPr>
          <w:p>
            <w:pPr>
              <w:spacing w:after="0"/>
              <w:jc w:val="left"/>
            </w:pPr>
            <w:r/>
            <w:r>
              <w:rPr>
                <w:rFonts w:ascii="Microsoft YaHei" w:hAnsi="Microsoft YaHei" w:eastAsia="Microsoft YaHei"/>
                <w:b w:val="0"/>
                <w:color w:val="1F2937"/>
                <w:sz w:val="18"/>
              </w:rPr>
              <w:t>处置状态/结果</w:t>
            </w:r>
          </w:p>
        </w:tc>
        <w:tc>
          <w:tcPr>
            <w:tcW w:type="dxa" w:w="3600"/>
            <w:vAlign w:val="center"/>
          </w:tcPr>
          <w:p>
            <w:pPr>
              <w:spacing w:after="0"/>
              <w:jc w:val="left"/>
            </w:pPr>
            <w:r/>
            <w:r>
              <w:rPr>
                <w:rFonts w:ascii="Microsoft YaHei" w:hAnsi="Microsoft YaHei" w:eastAsia="Microsoft YaHei"/>
                <w:b w:val="0"/>
                <w:color w:val="1F2937"/>
                <w:sz w:val="18"/>
              </w:rPr>
              <w:t>展示当前最终状态</w:t>
            </w:r>
          </w:p>
        </w:tc>
        <w:tc>
          <w:tcPr>
            <w:tcW w:type="dxa" w:w="3560"/>
            <w:vAlign w:val="center"/>
          </w:tcPr>
          <w:p>
            <w:pPr>
              <w:spacing w:after="0"/>
              <w:jc w:val="left"/>
            </w:pPr>
            <w:r/>
            <w:r>
              <w:rPr>
                <w:rFonts w:ascii="Microsoft YaHei" w:hAnsi="Microsoft YaHei" w:eastAsia="Microsoft YaHei"/>
                <w:b w:val="0"/>
                <w:color w:val="1F2937"/>
                <w:sz w:val="18"/>
              </w:rPr>
              <w:t>展示该状态形成的原因和闭环时间。</w:t>
            </w:r>
          </w:p>
        </w:tc>
      </w:tr>
      <w:tr>
        <w:tc>
          <w:tcPr>
            <w:tcW w:type="dxa" w:w="2200"/>
            <w:vAlign w:val="center"/>
          </w:tcPr>
          <w:p>
            <w:pPr>
              <w:spacing w:after="0"/>
              <w:jc w:val="left"/>
            </w:pPr>
            <w:r/>
            <w:r>
              <w:rPr>
                <w:rFonts w:ascii="Microsoft YaHei" w:hAnsi="Microsoft YaHei" w:eastAsia="Microsoft YaHei"/>
                <w:b w:val="0"/>
                <w:color w:val="1F2937"/>
                <w:sz w:val="18"/>
              </w:rPr>
              <w:t>探测设备</w:t>
            </w:r>
          </w:p>
        </w:tc>
        <w:tc>
          <w:tcPr>
            <w:tcW w:type="dxa" w:w="3600"/>
            <w:vAlign w:val="center"/>
          </w:tcPr>
          <w:p>
            <w:pPr>
              <w:spacing w:after="0"/>
              <w:jc w:val="left"/>
            </w:pPr>
            <w:r/>
            <w:r>
              <w:rPr>
                <w:rFonts w:ascii="Microsoft YaHei" w:hAnsi="Microsoft YaHei" w:eastAsia="Microsoft YaHei"/>
                <w:b w:val="0"/>
                <w:color w:val="1F2937"/>
                <w:sz w:val="18"/>
              </w:rPr>
              <w:t>展示汇总设备</w:t>
            </w:r>
          </w:p>
        </w:tc>
        <w:tc>
          <w:tcPr>
            <w:tcW w:type="dxa" w:w="3560"/>
            <w:vAlign w:val="center"/>
          </w:tcPr>
          <w:p>
            <w:pPr>
              <w:spacing w:after="0"/>
              <w:jc w:val="left"/>
            </w:pPr>
            <w:r/>
            <w:r>
              <w:rPr>
                <w:rFonts w:ascii="Microsoft YaHei" w:hAnsi="Microsoft YaHei" w:eastAsia="Microsoft YaHei"/>
                <w:b w:val="0"/>
                <w:color w:val="1F2937"/>
                <w:sz w:val="18"/>
              </w:rPr>
              <w:t>展示发现阶段的来源设备与原始信号摘要。</w:t>
            </w:r>
          </w:p>
        </w:tc>
      </w:tr>
    </w:tbl>
    <w:p/>
    <w:p>
      <w:pPr>
        <w:pStyle w:val="Heading1"/>
      </w:pPr>
      <w:r>
        <w:rPr>
          <w:rFonts w:ascii="Microsoft YaHei" w:hAnsi="Microsoft YaHei" w:eastAsia="Microsoft YaHei"/>
          <w:color w:val="2E74B5"/>
        </w:rPr>
        <w:t>十一、开发落地建议</w:t>
      </w:r>
    </w:p>
    <w:p>
      <w:pPr>
        <w:pStyle w:val="ListBullet"/>
        <w:spacing w:after="60" w:line="300" w:lineRule="auto"/>
        <w:ind w:left="539" w:hanging="255"/>
      </w:pPr>
      <w:r>
        <w:rPr>
          <w:rFonts w:ascii="Microsoft YaHei" w:hAnsi="Microsoft YaHei" w:eastAsia="Microsoft YaHei"/>
          <w:color w:val="1F2937"/>
          <w:sz w:val="20"/>
        </w:rPr>
        <w:t>使用五个构建函数生成节点：buildDiscoveryStage、buildIdentificationStage、buildAssessmentStage、buildDisposalStage、buildResultStage。</w:t>
      </w:r>
    </w:p>
    <w:p>
      <w:pPr>
        <w:pStyle w:val="ListBullet"/>
        <w:spacing w:after="60" w:line="300" w:lineRule="auto"/>
        <w:ind w:left="539" w:hanging="255"/>
      </w:pPr>
      <w:r>
        <w:rPr>
          <w:rFonts w:ascii="Microsoft YaHei" w:hAnsi="Microsoft YaHei" w:eastAsia="Microsoft YaHei"/>
          <w:color w:val="1F2937"/>
          <w:sz w:val="20"/>
        </w:rPr>
        <w:t>组件只负责渲染，不在组件中判断复杂业务文案。</w:t>
      </w:r>
    </w:p>
    <w:p>
      <w:pPr>
        <w:pStyle w:val="ListBullet"/>
        <w:spacing w:after="60" w:line="300" w:lineRule="auto"/>
        <w:ind w:left="539" w:hanging="255"/>
      </w:pPr>
      <w:r>
        <w:rPr>
          <w:rFonts w:ascii="Microsoft YaHei" w:hAnsi="Microsoft YaHei" w:eastAsia="Microsoft YaHei"/>
          <w:color w:val="1F2937"/>
          <w:sz w:val="20"/>
        </w:rPr>
        <w:t>缺失字段统一展示为“--”，但不应把缺失字段拼入概要句。</w:t>
      </w:r>
    </w:p>
    <w:p>
      <w:pPr>
        <w:pStyle w:val="ListBullet"/>
        <w:spacing w:after="60" w:line="300" w:lineRule="auto"/>
        <w:ind w:left="539" w:hanging="255"/>
      </w:pPr>
      <w:r>
        <w:rPr>
          <w:rFonts w:ascii="Microsoft YaHei" w:hAnsi="Microsoft YaHei" w:eastAsia="Microsoft YaHei"/>
          <w:color w:val="1F2937"/>
          <w:sz w:val="20"/>
        </w:rPr>
        <w:t>详情页默认隐藏 pending 节点；skipped 节点必须提供 skipReason。</w:t>
      </w:r>
    </w:p>
    <w:p>
      <w:pPr>
        <w:pStyle w:val="ListBullet"/>
        <w:spacing w:after="60" w:line="300" w:lineRule="auto"/>
        <w:ind w:left="539" w:hanging="255"/>
      </w:pPr>
      <w:r>
        <w:rPr>
          <w:rFonts w:ascii="Microsoft YaHei" w:hAnsi="Microsoft YaHei" w:eastAsia="Microsoft YaHei"/>
          <w:color w:val="1F2937"/>
          <w:sz w:val="20"/>
        </w:rPr>
        <w:t>业务标签由字段派生，不作为人工维护的装饰文本。</w:t>
      </w:r>
    </w:p>
    <w:p>
      <w:pPr>
        <w:pStyle w:val="Heading1"/>
      </w:pPr>
      <w:r>
        <w:rPr>
          <w:rFonts w:ascii="Microsoft YaHei" w:hAnsi="Microsoft YaHei" w:eastAsia="Microsoft YaHei"/>
          <w:color w:val="2E74B5"/>
        </w:rPr>
        <w:t>十二、待确认事项</w:t>
      </w:r>
    </w:p>
    <w:p>
      <w:pPr>
        <w:pStyle w:val="ListBullet"/>
        <w:spacing w:after="60" w:line="300" w:lineRule="auto"/>
        <w:ind w:left="539" w:hanging="255"/>
      </w:pPr>
      <w:r>
        <w:rPr>
          <w:rFonts w:ascii="Microsoft YaHei" w:hAnsi="Microsoft YaHei" w:eastAsia="Microsoft YaHei"/>
          <w:color w:val="1F2937"/>
          <w:sz w:val="20"/>
        </w:rPr>
        <w:t>白名单目标在未授权区域或异常飞行时，是否允许由威胁评估升级并触发处置预案。</w:t>
      </w:r>
    </w:p>
    <w:p>
      <w:pPr>
        <w:pStyle w:val="ListBullet"/>
        <w:spacing w:after="60" w:line="300" w:lineRule="auto"/>
        <w:ind w:left="539" w:hanging="255"/>
      </w:pPr>
      <w:r>
        <w:rPr>
          <w:rFonts w:ascii="Microsoft YaHei" w:hAnsi="Microsoft YaHei" w:eastAsia="Microsoft YaHei"/>
          <w:color w:val="1F2937"/>
          <w:sz w:val="20"/>
        </w:rPr>
        <w:t>飞鸟扰动是否统一归入“已结束”，还是细分为“误报排除”。</w:t>
      </w:r>
    </w:p>
    <w:p>
      <w:pPr>
        <w:pStyle w:val="ListBullet"/>
        <w:spacing w:after="60" w:line="300" w:lineRule="auto"/>
        <w:ind w:left="539" w:hanging="255"/>
      </w:pPr>
      <w:r>
        <w:rPr>
          <w:rFonts w:ascii="Microsoft YaHei" w:hAnsi="Microsoft YaHei" w:eastAsia="Microsoft YaHei"/>
          <w:color w:val="1F2937"/>
          <w:sz w:val="20"/>
        </w:rPr>
        <w:t>进行中事件是否展示处置结果的 processing 节点，或仅展示到处置执行阶段。</w:t>
      </w:r>
    </w:p>
    <w:p>
      <w:pPr>
        <w:pStyle w:val="ListBullet"/>
        <w:spacing w:after="60" w:line="300" w:lineRule="auto"/>
        <w:ind w:left="539" w:hanging="255"/>
      </w:pPr>
      <w:r>
        <w:rPr>
          <w:rFonts w:ascii="Microsoft YaHei" w:hAnsi="Microsoft YaHei" w:eastAsia="Microsoft YaHei"/>
          <w:color w:val="1F2937"/>
          <w:sz w:val="20"/>
        </w:rPr>
        <w:t>横向步骤条是否作为详情页顶部概览保留，还是仅使用纵向时间线。</w:t>
      </w:r>
    </w:p>
    <w:sectPr w:rsidR="00FC693F" w:rsidRPr="0006063C" w:rsidSect="00034616">
      <w:footerReference w:type="default" r:id="rId9"/>
      <w:pgSz w:w="12240" w:h="15840"/>
      <w:pgMar w:top="1247" w:right="1247" w:bottom="1020" w:left="124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color w:val="64748B"/>
        <w:sz w:val="18"/>
      </w:rPr>
      <w:t>设备处置时间链实现说明 | 历史事件模块</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Microsoft YaHei" w:hAnsi="Microsoft YaHe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Microsoft YaHei" w:hAnsi="Microsoft YaHe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