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42.png" ContentType="image/png"/>
  <Override PartName="/word/media/rId31.png" ContentType="image/png"/>
  <Override PartName="/word/media/rId53.png" ContentType="image/png"/>
  <Override PartName="/word/media/rId46.png" ContentType="image/png"/>
  <Override PartName="/word/media/rId36.png" ContentType="image/png"/>
  <Override PartName="/word/media/rId26.png" ContentType="image/png"/>
  <Override PartName="/word/media/" ContentType="application/octet-stream"/>
  <Override PartName="/word/media/rId53.png" ContentType="image/png"/>
  <Override PartName="/word/media/rId27.png" ContentType="image/png"/>
  <Override PartName="/word/media/rId42.png" ContentType="image/png"/>
  <Override PartName="/word/media/rId32.png" ContentType="image/png"/>
  <Override PartName="/word/media/rId4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peak: the morning-preferring</w:t>
      </w:r>
      <w:r>
        <w:t xml:space="preserve"> </w:t>
      </w:r>
      <w:r>
        <w:t xml:space="preserve">“larks”</w:t>
      </w:r>
      <w:r>
        <w:t xml:space="preserve"> </w:t>
      </w:r>
      <w:r>
        <w:t xml:space="preserve">and</w:t>
      </w:r>
      <w:r>
        <w:t xml:space="preserve"> </w:t>
      </w:r>
      <w:r>
        <w:t xml:space="preserve">evening-preferring</w:t>
      </w:r>
      <w:r>
        <w:t xml:space="preserve"> </w:t>
      </w:r>
      <w:r>
        <w:t xml:space="preserve">“owls”</w:t>
      </w:r>
      <w:r>
        <w:t xml:space="preserve"> </w:t>
      </w:r>
      <w:r>
        <w:t xml:space="preserve">of chronotype research. We asked whether these rhythms</w:t>
      </w:r>
      <w:r>
        <w:t xml:space="preserve"> </w:t>
      </w:r>
      <w:r>
        <w:t xml:space="preserve">appear in large-scale behavioral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behavior (two principal components of performance, PC1 and PC2) and of</w:t>
      </w:r>
      <w:r>
        <w:t xml:space="preserve"> </w:t>
      </w:r>
      <w:r>
        <w:t xml:space="preserve">a skill-outcome measure (the change in matchmaking rating, ΔMMR). Play volume is</w:t>
      </w:r>
      <w:r>
        <w:t xml:space="preserve"> </w:t>
      </w:r>
      <w:r>
        <w:t xml:space="preserve">governed by local time: correcting each server by its fixed UTC offset collapses</w:t>
      </w:r>
      <w:r>
        <w:t xml:space="preserve"> </w:t>
      </w:r>
      <w:r>
        <w:t xml:space="preserve">the eight play-volume curves onto one evening-peaked schedule, cutting the</w:t>
      </w:r>
      <w:r>
        <w:t xml:space="preserve"> </w:t>
      </w:r>
      <w:r>
        <w:t xml:space="preserve">across-server spread in mean play hour from 5.83 h to 1.12 h.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PC2, and the population playtime periodogram peaked at exactly 24.0 h on</w:t>
      </w:r>
      <w:r>
        <w:t xml:space="preserve"> </w:t>
      </w:r>
      <w:r>
        <w:t xml:space="preserve">every server. Per-player peak phases were individually significant for 21.4% of players on PC1 and 18.5% on PC2. Pooling these</w:t>
      </w:r>
      <w:r>
        <w:t xml:space="preserve"> </w:t>
      </w:r>
      <w:r>
        <w:t xml:space="preserve">significant phases, a two-component von Mises mixture was preferred over a single</w:t>
      </w:r>
      <w:r>
        <w:t xml:space="preserve"> </w:t>
      </w:r>
      <w:r>
        <w:t xml:space="preserve">component by both BIC and AIC for PC1 and PC2. Parametric-bootstrap likelihood-ratio tests supported</w:t>
      </w:r>
      <w:r>
        <w:t xml:space="preserve"> </w:t>
      </w:r>
      <w:r>
        <w:t xml:space="preserve">both comparisons, a quantitative signature of two chronotype-like</w:t>
      </w:r>
      <w:r>
        <w:t xml:space="preserve"> </w:t>
      </w:r>
      <w:r>
        <w:t xml:space="preserve">clusters. In contrast, ΔMMR carried essentially no circadian</w:t>
      </w:r>
      <w:r>
        <w:t xml:space="preserve"> </w:t>
      </w:r>
      <w:r>
        <w:t xml:space="preserve">signal (0.3% of players FDR-significant; no server reached the threshold for a</w:t>
      </w:r>
      <w:r>
        <w:t xml:space="preserve"> </w:t>
      </w:r>
      <w:r>
        <w:t xml:space="preserve">modality test). Behavior is strongly time-of-day structured and</w:t>
      </w:r>
      <w:r>
        <w:t xml:space="preserve"> </w:t>
      </w:r>
      <w:r>
        <w:t xml:space="preserve">bimodally so, consistent with larks and owls;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We</w:t>
      </w:r>
      <w:r>
        <w:t xml:space="preserve"> </w:t>
      </w:r>
      <w:r>
        <w:t xml:space="preserve">discuss implications for digital behavior research, including how temporal</w:t>
      </w:r>
      <w:r>
        <w:t xml:space="preserve"> </w:t>
      </w:r>
      <w:r>
        <w:t xml:space="preserve">self-selection and platform ecology can shape observed performance patterns.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behavior oscillates with a</w:t>
      </w:r>
      <w:r>
        <w:t xml:space="preserve"> </w:t>
      </w:r>
      <w:r>
        <w:t xml:space="preserve">period of approximately 24 hours, driven by an endogenous circadian clock that is</w:t>
      </w:r>
      <w:r>
        <w:t xml:space="preserve"> </w:t>
      </w:r>
      <w:r>
        <w:t xml:space="preserve">entrained to the local light–dark cycle</w:t>
      </w:r>
      <w:r>
        <w:t xml:space="preserve"> </w:t>
      </w:r>
      <w:r>
        <w:t xml:space="preserve">[1]</w:t>
      </w:r>
      <w:r>
        <w:t xml:space="preserve">. These</w:t>
      </w:r>
      <w:r>
        <w:t xml:space="preserve"> </w:t>
      </w:r>
      <w:r>
        <w:t xml:space="preserve">rhythms reach into cognition: attention, working memory, reaction time and</w:t>
      </w:r>
      <w:r>
        <w:t xml:space="preserve"> </w:t>
      </w:r>
      <w:r>
        <w:t xml:space="preserve">executive control all show reliable time-of-day modulation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 differs between people. The</w:t>
      </w:r>
      <w:r>
        <w:t xml:space="preserve"> </w:t>
      </w:r>
      <w:r>
        <w:t xml:space="preserve">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</w:t>
      </w:r>
      <w:r>
        <w:t xml:space="preserve"> </w:t>
      </w:r>
      <w:r>
        <w:t xml:space="preserve">stable trait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, and competitive performance in esports is a structured,</w:t>
      </w:r>
      <w:r>
        <w:t xml:space="preserve"> </w:t>
      </w:r>
      <w:r>
        <w:t xml:space="preserve">trainable skill set rather than mere reflex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Online competitive gaming is also a large-scale setting for observing human</w:t>
      </w:r>
      <w:r>
        <w:t xml:space="preserve"> </w:t>
      </w:r>
      <w:r>
        <w:t xml:space="preserve">behavior under recurring demands, social coordination, and feedback-driven</w:t>
      </w:r>
      <w:r>
        <w:t xml:space="preserve"> </w:t>
      </w:r>
      <w:r>
        <w:t xml:space="preserve">self-regulation. Millions of timestamped, standardized, skill-graded matches are</w:t>
      </w:r>
      <w:r>
        <w:t xml:space="preserve"> </w:t>
      </w:r>
      <w:r>
        <w:t xml:space="preserve">played around the clock, across the globe, by the same individuals over months.</w:t>
      </w:r>
      <w:r>
        <w:t xml:space="preserve"> </w:t>
      </w:r>
      <w:r>
        <w:t xml:space="preserve">If circadian structure shapes behavior, it should be legible 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 operated on</w:t>
      </w:r>
      <w:r>
        <w:t xml:space="preserve"> </w:t>
      </w:r>
      <w:r>
        <w:t xml:space="preserve">geographically separated regional servers, is well suited to this question:</w:t>
      </w:r>
      <w:r>
        <w:t xml:space="preserve"> </w:t>
      </w:r>
      <w:r>
        <w:t xml:space="preserve">each server has a known local time zone, allowing matches to be aligned 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Bimodality (larks vs owls).</w:t>
      </w:r>
      <w:r>
        <w:t xml:space="preserve"> </w:t>
      </w:r>
      <w:r>
        <w:t xml:space="preserve">If rhythms exist, is the population of peak</w:t>
      </w:r>
      <w:r>
        <w:t xml:space="preserve"> </w:t>
      </w:r>
      <w:r>
        <w:t xml:space="preserve">times</w:t>
      </w:r>
      <w:r>
        <w:t xml:space="preserve"> </w:t>
      </w:r>
      <w:r>
        <w:rPr>
          <w:i/>
          <w:iCs/>
        </w:rPr>
        <w:t xml:space="preserve">bimodal</w:t>
      </w:r>
      <w:r>
        <w:t xml:space="preserve"> </w:t>
      </w:r>
      <w:r>
        <w:t xml:space="preserve">(clustering into morning-peaking and evening-peaking groups)</w:t>
      </w:r>
      <w:r>
        <w:t xml:space="preserve"> </w:t>
      </w:r>
      <w:r>
        <w:t xml:space="preserve">rather than a single mode?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behavior, or is success time-invariant?</w:t>
      </w:r>
    </w:p>
    <w:p>
      <w:pPr>
        <w:pStyle w:val="FirstParagraph"/>
      </w:pPr>
      <w:r>
        <w:t xml:space="preserve">This design lets us separate rhythmicity in</w:t>
      </w:r>
      <w:r>
        <w:t xml:space="preserve"> </w:t>
      </w:r>
      <w:r>
        <w:rPr>
          <w:i/>
          <w:iCs/>
        </w:rPr>
        <w:t xml:space="preserve">behavioral expression</w:t>
      </w:r>
      <w:r>
        <w:t xml:space="preserve"> </w:t>
      </w:r>
      <w:r>
        <w:t xml:space="preserve">(how people</w:t>
      </w:r>
      <w:r>
        <w:t xml:space="preserve"> </w:t>
      </w:r>
      <w:r>
        <w:t xml:space="preserve">play) from rhythmicity in</w:t>
      </w:r>
      <w:r>
        <w:t xml:space="preserve"> </w:t>
      </w:r>
      <w:r>
        <w:rPr>
          <w:i/>
          <w:iCs/>
        </w:rPr>
        <w:t xml:space="preserve">competitive outcomes</w:t>
      </w:r>
      <w:r>
        <w:t xml:space="preserve"> </w:t>
      </w:r>
      <w:r>
        <w:t xml:space="preserve">(whether they gain rating), a</w:t>
      </w:r>
      <w:r>
        <w:t xml:space="preserve"> </w:t>
      </w:r>
      <w:r>
        <w:t xml:space="preserve">distinction central to digital behavior research where performance metrics are</w:t>
      </w:r>
      <w:r>
        <w:t xml:space="preserve"> </w:t>
      </w:r>
      <w:r>
        <w:t xml:space="preserve">partly shaped by platform rules.</w:t>
      </w:r>
    </w:p>
    <w:p>
      <w:pPr>
        <w:pStyle w:val="BodyText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</w:t>
      </w:r>
    </w:p>
    <w:bookmarkEnd w:id="20"/>
    <w:bookmarkStart w:id="30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an unusually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materialized an hourly aggregate table. The</w:t>
      </w:r>
      <w:r>
        <w:t xml:space="preserve"> </w:t>
      </w:r>
      <w:r>
        <w:t xml:space="preserve">specific on-disk format is incidental to the analysis. We analyzed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p>
      <w:pPr>
        <w:pStyle w:val="BodyText"/>
      </w:pPr>
      <w:r>
        <w:t xml:space="preserve">To check that this conversion does what it claims, we counted the analyzed</w:t>
      </w:r>
      <w:r>
        <w:t xml:space="preserve"> </w:t>
      </w:r>
      <w:r>
        <w:t xml:space="preserve">cohort’s games in each hour of the day, per server, in UTC and in local time</w:t>
      </w:r>
      <w:r>
        <w:t xml:space="preserve"> </w:t>
      </w:r>
      <w:r>
        <w:t xml:space="preserve">(9.55 million games). We summarized each server’s schedule by the circular mean</w:t>
      </w:r>
      <w:r>
        <w:t xml:space="preserve"> </w:t>
      </w:r>
      <w:r>
        <w:t xml:space="preserve">of its game-weighted play hour, measured the across-server circular standard</w:t>
      </w:r>
      <w:r>
        <w:t xml:space="preserve"> </w:t>
      </w:r>
      <w:r>
        <w:t xml:space="preserve">deviation of those means before and after the offset, and regressed each server’s</w:t>
      </w:r>
      <w:r>
        <w:t xml:space="preserve"> </w:t>
      </w:r>
      <w:r>
        <w:t xml:space="preserve">mean UTC play hour on its UTC offset. A common local schedule predicts a slope of</w:t>
      </w:r>
      <w:r>
        <w:t xml:space="preserve"> </w:t>
      </w:r>
      <w:r>
        <w:t xml:space="preserve">−1 and a collapse in the across-server spread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</w:t>
      </w:r>
    </w:p>
    <w:bookmarkEnd w:id="21"/>
    <w:bookmarkStart w:id="22" w:name="Xe35d0ac23c03e618a790ced916c544af60a5655"/>
    <w:p>
      <w:pPr>
        <w:pStyle w:val="Heading2"/>
      </w:pPr>
      <w:r>
        <w:t xml:space="preserve">2.2 Behavioral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standardized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X1081d97065c5028a55e2e145369efb0540db38e"/>
    <w:p>
      <w:pPr>
        <w:pStyle w:val="Heading2"/>
      </w:pPr>
      <w:r>
        <w:t xml:space="preserve">2.5 Circular modality: one versus two chronotypes</w:t>
      </w:r>
    </w:p>
    <w:p>
      <w:pPr>
        <w:pStyle w:val="FirstParagraph"/>
      </w:pPr>
      <w:r>
        <w:t xml:space="preserve">Peak hours are circular.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expectation–maximization.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summarized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bookmarkEnd w:id="25"/>
    <w:bookmarkStart w:id="29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analyzed,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29"/>
    <w:bookmarkEnd w:id="30"/>
    <w:bookmarkStart w:id="62" w:name="results"/>
    <w:p>
      <w:pPr>
        <w:pStyle w:val="Heading1"/>
      </w:pPr>
      <w:r>
        <w:t xml:space="preserve">3. Results</w:t>
      </w:r>
    </w:p>
    <w:bookmarkStart w:id="35" w:name="sec-playvolume"/>
    <w:p>
      <w:pPr>
        <w:pStyle w:val="Heading2"/>
      </w:pPr>
      <w:r>
        <w:t xml:space="preserve">3.1 Play volume is set by local time, not UTC</w:t>
      </w:r>
    </w:p>
    <w:p>
      <w:pPr>
        <w:pStyle w:val="FirstParagraph"/>
      </w:pPr>
      <w:r>
        <w:t xml:space="preserve">The clearest daily signal in the data is how much people play, and local time</w:t>
      </w:r>
      <w:r>
        <w:t xml:space="preserve"> </w:t>
      </w:r>
      <w:r>
        <w:t xml:space="preserve">governs it. Each server spreads its games unevenly across the day, with a</w:t>
      </w:r>
      <w:r>
        <w:t xml:space="preserve"> </w:t>
      </w:r>
      <w:r>
        <w:t xml:space="preserve">deep trough in the small hours and a broad evening peak carrying 6–10% of that</w:t>
      </w:r>
      <w:r>
        <w:t xml:space="preserve"> </w:t>
      </w:r>
      <w:r>
        <w:t xml:space="preserve">server’s games in each hour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). Plotted against UTC, the eight</w:t>
      </w:r>
      <w:r>
        <w:t xml:space="preserve"> </w:t>
      </w:r>
      <w:r>
        <w:t xml:space="preserve">curves are displaced from one another in time-zone order, from OC1 (UTC+10) on</w:t>
      </w:r>
      <w:r>
        <w:t xml:space="preserve"> </w:t>
      </w:r>
      <w:r>
        <w:t xml:space="preserve">the left to LA1 (UTC−6) on the right. Applying the fixed per-server UTC offset</w:t>
      </w:r>
      <w:r>
        <w:t xml:space="preserve"> </w:t>
      </w:r>
      <w:r>
        <w:t xml:space="preserve">collapses them onto one evening-peaked schedule: the across-server circular</w:t>
      </w:r>
      <w:r>
        <w:t xml:space="preserve"> </w:t>
      </w:r>
      <w:r>
        <w:t xml:space="preserve">standard deviation of the mean play hour falls from</w:t>
      </w:r>
      <w:r>
        <w:t xml:space="preserve"> </w:t>
      </w:r>
      <w:r>
        <w:rPr>
          <w:b/>
          <w:bCs/>
        </w:rPr>
        <w:t xml:space="preserve">5.83 h in UTC to 1.12 h in</w:t>
      </w:r>
      <w:r>
        <w:rPr>
          <w:b/>
          <w:bCs/>
        </w:rPr>
        <w:t xml:space="preserve"> </w:t>
      </w:r>
      <w:r>
        <w:rPr>
          <w:b/>
          <w:bCs/>
        </w:rPr>
        <w:t xml:space="preserve">local time</w:t>
      </w:r>
      <w:r>
        <w:t xml:space="preserve">, and the pooled local mean play hour is 19.1 h.</w:t>
      </w:r>
    </w:p>
    <w:p>
      <w:pPr>
        <w:pStyle w:val="BodyText"/>
      </w:pPr>
      <w:r>
        <w:t xml:space="preserve">The displacement is the time zone and nothing else. Regressing each server’s mean</w:t>
      </w:r>
      <w:r>
        <w:t xml:space="preserve"> </w:t>
      </w:r>
      <w:r>
        <w:t xml:space="preserve">UTC play hour on its UTC offset gives a slope of</w:t>
      </w:r>
      <w:r>
        <w:t xml:space="preserve"> </w:t>
      </w:r>
      <w:r>
        <w:rPr>
          <w:b/>
          <w:bCs/>
        </w:rPr>
        <w:t xml:space="preserve">−0.92</w:t>
      </w:r>
      <w:r>
        <w:t xml:space="preserve"> </w:t>
      </w:r>
      <w:r>
        <w:t xml:space="preserve">(r = −0.98), against</w:t>
      </w:r>
      <w:r>
        <w:t xml:space="preserve"> </w:t>
      </w:r>
      <w:r>
        <w:t xml:space="preserve">the −1 predicted if every server keeps the same local schedule. Two features of</w:t>
      </w:r>
      <w:r>
        <w:t xml:space="preserve"> </w:t>
      </w:r>
      <w:r>
        <w:t xml:space="preserve">the exposure schedule are operational rather than behavioral: JP1 records almost</w:t>
      </w:r>
      <w:r>
        <w:t xml:space="preserve"> </w:t>
      </w:r>
      <w:r>
        <w:t xml:space="preserve">no play between 05:00 and 11:00 local, and LA1 and LA2 each lose a single hour,</w:t>
      </w:r>
      <w:r>
        <w:t xml:space="preserve"> </w:t>
      </w:r>
      <w:r>
        <w:t xml:space="preserve">at 03:00–04:00 and 06:00–07:00 local respectively, which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hour</w:t>
      </w:r>
      <w:r>
        <w:t xml:space="preserve"> </w:t>
      </w:r>
      <w:r>
        <w:t xml:space="preserve">(09:00–10:00) in UTC. Fixed-UTC gaps are daily server maintenance, not sleep.</w:t>
      </w:r>
      <w:r>
        <w:t xml:space="preserve"> </w:t>
      </w:r>
      <w:r>
        <w:t xml:space="preserve">JP1’s seven-hour gap is what pulls the slope away from −1; excluding JP1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−0.99</w:t>
      </w:r>
      <w:r>
        <w:t xml:space="preserve"> </w:t>
      </w:r>
      <w:r>
        <w:t xml:space="preserve">(r = −0.98) and the local-time standard deviation falls to</w:t>
      </w:r>
      <w:r>
        <w:t xml:space="preserve"> </w:t>
      </w:r>
      <w:r>
        <w:t xml:space="preserve">0.94 h.</w:t>
      </w:r>
    </w:p>
    <w:p>
      <w:pPr>
        <w:pStyle w:val="BodyText"/>
      </w:pPr>
      <w:r>
        <w:t xml:space="preserve">Local hour is therefore the meaningful axis for everything that follows, and the</w:t>
      </w:r>
      <w:r>
        <w:t xml:space="preserve"> </w:t>
      </w:r>
      <w:r>
        <w:t xml:space="preserve">rhythms reported below cannot be inherited from pooling servers in the wrong time</w:t>
      </w:r>
      <w:r>
        <w:t xml:space="preserve"> </w:t>
      </w:r>
      <w:r>
        <w:t xml:space="preserve">frame. The residual across-server spread of 1.12 h bounds how much of any</w:t>
      </w:r>
      <w:r>
        <w:t xml:space="preserve"> </w:t>
      </w:r>
      <w:r>
        <w:t xml:space="preserve">phase structure a time-zone error could manufacture, which is far smaller than</w:t>
      </w:r>
      <w:r>
        <w:t xml:space="preserve"> </w:t>
      </w:r>
      <w:r>
        <w:t xml:space="preserve">the ~14 h separating the two behavioral modes reported in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layvolume"/>
          <w:p>
            <w:pPr>
              <w:pStyle w:val="Compact"/>
              <w:jc w:val="center"/>
            </w:pPr>
            <w:r>
              <w:drawing>
                <wp:inline>
                  <wp:extent cx="5334000" cy="15886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lay_volume_timezon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Play volume by hour of day on the eight servers (9.55 million games from the 8,000 analyzed players).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Share of each server’s games falling in each UTC hour; servers are colored by UTC offset (light = west, dark = east) and the curves are displaced in time-zone order.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The same curves against local hour, after the fixed per-server UTC offset, collapsing onto a common evening-peaked schedule.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Each server’s mean UTC play hour against its UTC offset; the fitted slope (−0.92) sits close to the −1 expected if all servers keep the same local schedule (solid line, drawn through the pooled local mean of 19.1 h). JP1’s flat interval at 05:00–11:00 local, and the single missing hour on LA1 and LA2 (both 09:00–10:00 UTC), are daily server-maintenance windows rather than behavior.</w:t>
            </w:r>
          </w:p>
          <w:bookmarkEnd w:id="34"/>
        </w:tc>
      </w:tr>
    </w:tbl>
    <w:bookmarkEnd w:id="35"/>
    <w:bookmarkStart w:id="41" w:name="sec-periods"/>
    <w:p>
      <w:pPr>
        <w:pStyle w:val="Heading2"/>
      </w:pPr>
      <w:r>
        <w:t xml:space="preserve">3.2 Behavior is rhythmic; success is not</w:t>
      </w:r>
    </w:p>
    <w:p>
      <w:pPr>
        <w:pStyle w:val="FirstParagraph"/>
      </w:pPr>
      <w:r>
        <w:t xml:space="preserve">Within-subject periodograms show a sharp circadian peak for behavior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../results/NA1/within_subject_periodogram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Incoherently averaged within-subject Lomb–Scargle periodograms for one server (NA1, 1,000 players). PC1 (left, peak 24.08 h) and PC2 (center,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39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story:</w:t>
      </w:r>
      <w:r>
        <w:t xml:space="preserve"> </w:t>
      </w:r>
      <w:r>
        <w:rPr>
          <w:b/>
          <w:bCs/>
        </w:rPr>
        <w:t xml:space="preserve">21.4%</w:t>
      </w:r>
      <w:r>
        <w:t xml:space="preserve"> </w:t>
      </w:r>
      <w:r>
        <w:t xml:space="preserve">of players have a significant ~24 h rhythm in</w:t>
      </w:r>
      <w:r>
        <w:t xml:space="preserve"> </w:t>
      </w:r>
      <w:r>
        <w:t xml:space="preserve">PC1 and</w:t>
      </w:r>
      <w:r>
        <w:t xml:space="preserve"> </w:t>
      </w:r>
      <w:r>
        <w:rPr>
          <w:b/>
          <w:bCs/>
        </w:rPr>
        <w:t xml:space="preserve">18.5%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(26 of 8,000 players).</w:t>
      </w:r>
      <w:r>
        <w:t xml:space="preserve"> </w:t>
      </w:r>
      <w:r>
        <w:t xml:space="preserve">Behavior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 is essentially</w:t>
      </w:r>
      <w:r>
        <w:t xml:space="preserve"> </w:t>
      </w:r>
      <w:r>
        <w:t xml:space="preserve">clock-agnostic.</w:t>
      </w:r>
    </w:p>
    <w:p>
      <w:pPr>
        <w:pStyle w:val="BodyText"/>
      </w:pPr>
      <w:r>
        <w:t xml:space="preserve">For reference, the population-level periodogram of raw activity (</w:t>
      </w:r>
      <w:r>
        <w:rPr>
          <w:rStyle w:val="VerbatimChar"/>
        </w:rPr>
        <w:t xml:space="preserve">TIMEPLAYED</w:t>
      </w:r>
      <w:r>
        <w:t xml:space="preserve">)</w:t>
      </w:r>
      <w:r>
        <w:t xml:space="preserve"> </w:t>
      </w:r>
      <w:r>
        <w:t xml:space="preserve">behaves as expected: with the 24 h-anchored grid it peaks at</w:t>
      </w:r>
      <w:r>
        <w:t xml:space="preserve"> </w:t>
      </w:r>
      <w:r>
        <w:rPr>
          <w:b/>
          <w:bCs/>
        </w:rPr>
        <w:t xml:space="preserve">exactly 24.0 h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 of the eight servers</w:t>
      </w:r>
      <w:r>
        <w:t xml:space="preserve">.</w:t>
      </w:r>
    </w:p>
    <w:bookmarkEnd w:id="41"/>
    <w:bookmarkStart w:id="51" w:name="sec-pca"/>
    <w:p>
      <w:pPr>
        <w:pStyle w:val="Heading2"/>
      </w:pPr>
      <w:r>
        <w:t xml:space="preserve">3.3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3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50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performance_pca_loadings.png" id="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5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9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success_aware_pca_loadings.png" id="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N-weighted PCA loadings across servers; whiskers show between-server spread.</w:t>
      </w:r>
    </w:p>
    <w:bookmarkEnd w:id="50"/>
    <w:bookmarkEnd w:id="51"/>
    <w:bookmarkStart w:id="61" w:name="sec-bimodality"/>
    <w:p>
      <w:pPr>
        <w:pStyle w:val="Heading2"/>
      </w:pPr>
      <w:r>
        <w:t xml:space="preserve">3.4 Two chronotypes: the peak-phase distribution is bimodal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all</w:t>
      </w:r>
      <w:r>
        <w:t xml:space="preserve"> </w:t>
      </w:r>
      <w:r>
        <w:t xml:space="preserve">FDR-significant phases and comparing circular models,</w:t>
      </w:r>
      <w:r>
        <w:t xml:space="preserve"> </w:t>
      </w:r>
      <w:r>
        <w:rPr>
          <w:b/>
          <w:bCs/>
        </w:rPr>
        <w:t xml:space="preserve">both behavioral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 prefer a two-component von Mises mixture</w:t>
      </w:r>
      <w:r>
        <w:t xml:space="preserve"> </w:t>
      </w:r>
      <w:r>
        <w:t xml:space="preserve">(</w:t>
      </w:r>
      <w:hyperlink w:anchor="fig-bimodality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: the two-component fit improved the log likelihood from −3,112.0 to</w:t>
      </w:r>
      <w:r>
        <w:t xml:space="preserve"> </w:t>
      </w:r>
      <w:r>
        <w:t xml:space="preserve">−3,092.2 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33.6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17.2</m:t>
        </m:r>
      </m:oMath>
      <w:r>
        <w:t xml:space="preserve">;</w:t>
      </w:r>
      <w:r>
        <w:t xml:space="preserve"> </w:t>
      </w:r>
      <w:r>
        <w:t xml:space="preserve">likelihood ratio = 39.6). None of 1,000 one-component-null bootstrap samples</w:t>
      </w:r>
      <w:r>
        <w:t xml:space="preserve"> </w:t>
      </w:r>
      <w:r>
        <w:t xml:space="preserve">matched this improvement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 Its peaks were</w:t>
      </w:r>
      <w:r>
        <w:t xml:space="preserve"> </w:t>
      </w:r>
      <w:r>
        <w:rPr>
          <w:b/>
          <w:bCs/>
        </w:rPr>
        <w:t xml:space="preserve">21.5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7.1 h</w:t>
      </w:r>
      <w:r>
        <w:t xml:space="preserve"> </w:t>
      </w:r>
      <w:r>
        <w:t xml:space="preserve">(weights 0.57 / 0.43): an evening-peaking</w:t>
      </w:r>
      <w:r>
        <w:t xml:space="preserve"> </w:t>
      </w:r>
      <w:r>
        <w:t xml:space="preserve">“owl”</w:t>
      </w:r>
      <w:r>
        <w:t xml:space="preserve"> </w:t>
      </w:r>
      <w:r>
        <w:t xml:space="preserve">cluster and a morning-peaking</w:t>
      </w:r>
      <w:r>
        <w:t xml:space="preserve"> </w:t>
      </w:r>
      <w:r>
        <w:t xml:space="preserve">“lark”</w:t>
      </w:r>
      <w:r>
        <w:t xml:space="preserve"> </w:t>
      </w:r>
      <w:r>
        <w:t xml:space="preserve">cluster of nearly equal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: the log likelihood improved from −2,675.8 to −2,650.7</w:t>
      </w:r>
      <w:r>
        <w:t xml:space="preserve"> </w:t>
      </w:r>
      <w:r>
        <w:t xml:space="preserve">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44.3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28.4</m:t>
        </m:r>
      </m:oMath>
      <w:r>
        <w:t xml:space="preserve">; likelihood ratio =</w:t>
      </w:r>
      <w:r>
        <w:t xml:space="preserve"> </w:t>
      </w:r>
      <w:r>
        <w:t xml:space="preserve">50.3), again with zero of 1,000 null-bootstrap exceedances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  <w:r>
        <w:t xml:space="preserve"> </w:t>
      </w:r>
      <w:r>
        <w:t xml:space="preserve">Its peaks were</w:t>
      </w:r>
      <w:r>
        <w:t xml:space="preserve"> </w:t>
      </w:r>
      <w:r>
        <w:rPr>
          <w:b/>
          <w:bCs/>
        </w:rPr>
        <w:t xml:space="preserve">9.4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19.9 h</w:t>
      </w:r>
      <w:r>
        <w:t xml:space="preserve"> </w:t>
      </w:r>
      <w:r>
        <w:t xml:space="preserve">(weights 0.65 / 0.35): again a</w:t>
      </w:r>
      <w:r>
        <w:t xml:space="preserve"> </w:t>
      </w:r>
      <w:r>
        <w:t xml:space="preserve">morning and an evening mode.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circular bimodality test on FDR-significant peak phases. The bootstrap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-values use the add-one correction; zero of 1,000 null replicates exceeded</w:t>
            </w:r>
            <w:r>
              <w:t xml:space="preserve"> </w:t>
            </w:r>
            <w:r>
              <w:t xml:space="preserve">either observed likelihood-ratio statistic.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−3,112.0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−3,092.2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6,194.3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6,238.8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−2,675.8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−2,650.7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5,355.7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5,311.4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5,366.2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5,337.8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ooled_circular_bimodality_fit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Pooled circular bimodality fits. For PC1 (top) and PC2 (bottom): histograms of FDR-significant local peak hours with the one-component fit (dashed) and two-component mixture (solid; dotted components), shown in both hour-domain (left) and polar (right) views. Both metrics show two clear modes (a morning and an evening cluster), and the mixture is preferred by BIC and AIC, with parametric-bootstrap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.</w:t>
            </w:r>
          </w:p>
          <w:bookmarkEnd w:id="56"/>
        </w:tc>
      </w:tr>
    </w:tbl>
    <w:p>
      <w:pPr>
        <w:pStyle w:val="BodyText"/>
      </w:pPr>
      <w:r>
        <w:t xml:space="preserve">The per-server tally is consistent: across servers, FDR-significant PC1 phases</w:t>
      </w:r>
      <w:r>
        <w:t xml:space="preserve"> </w:t>
      </w:r>
      <w:r>
        <w:t xml:space="preserve">split 816 (one-component-preferred) to 897 (two-component-preferred) and PC2 704</w:t>
      </w:r>
      <w:r>
        <w:t xml:space="preserve"> </w:t>
      </w:r>
      <w:r>
        <w:t xml:space="preserve">to 761: a majority of server-level phases independently favor the</w:t>
      </w:r>
      <w:r>
        <w:t xml:space="preserve"> </w:t>
      </w:r>
      <w:r>
        <w:t xml:space="preserve">two-cluster description, which is what produces a decisive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preference</w:t>
      </w:r>
      <w:r>
        <w:t xml:space="preserve"> </w:t>
      </w:r>
      <w:r>
        <w:t xml:space="preserve">once power is aggregated.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5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concentrates</w:t>
      </w:r>
      <w:r>
        <w:t xml:space="preserve"> </w:t>
      </w:r>
      <w:r>
        <w:t xml:space="preserve">around the late evening (weighted peak 22.4 h) while PC2 peaks in the morning</w:t>
      </w:r>
      <w:r>
        <w:t xml:space="preserve"> </w:t>
      </w:r>
      <w:r>
        <w:t xml:space="preserve">(9.8 h), each with a secondary lobe, the smooth-density counterpart of the</w:t>
      </w:r>
      <w:r>
        <w:t xml:space="preserve"> </w:t>
      </w:r>
      <w:r>
        <w:t xml:space="preserve">two-component fits.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159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c_peak_density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Phase-count-weighted circular kernel density of FDR-significant peak hours (κ = 4), with 95% across-server bands. The bimodal structure seen in the von Mises fits is reproduced without assuming a parametric mixture.</w:t>
            </w:r>
          </w:p>
          <w:bookmarkEnd w:id="60"/>
        </w:tc>
      </w:tr>
    </w:tbl>
    <w:bookmarkEnd w:id="61"/>
    <w:bookmarkEnd w:id="62"/>
    <w:bookmarkStart w:id="65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behavior</w:t>
      </w:r>
      <w:r>
        <w:t xml:space="preserve">: within-subject periodograms peak crisply at 24 h for both</w:t>
      </w:r>
      <w:r>
        <w:t xml:space="preserve"> </w:t>
      </w:r>
      <w:r>
        <w:t xml:space="preserve">behavioral principal components, the estimate is stable to three significant</w:t>
      </w:r>
      <w:r>
        <w:t xml:space="preserve"> </w:t>
      </w:r>
      <w:r>
        <w:t xml:space="preserve">figures across 8 independent servers, and more than one in five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the population of peak times is bimodal</w:t>
      </w:r>
      <w:r>
        <w:t xml:space="preserve">. Both PC1 and PC2 prefer a</w:t>
      </w:r>
      <w:r>
        <w:t xml:space="preserve"> </w:t>
      </w:r>
      <w:r>
        <w:t xml:space="preserve">two-component von Mises mixture, recovering a morning cluster and an evening</w:t>
      </w:r>
      <w:r>
        <w:t xml:space="preserve"> </w:t>
      </w:r>
      <w:r>
        <w:t xml:space="preserve">cluster in each case. This pattern is consistent with the lark/owl framing in</w:t>
      </w:r>
      <w:r>
        <w:t xml:space="preserve"> </w:t>
      </w:r>
      <w:r>
        <w:t xml:space="preserve">chronotype research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result survives a stringent pipeline (per-player FDR control, concordant BIC and</w:t>
      </w:r>
      <w:r>
        <w:t xml:space="preserve"> </w:t>
      </w:r>
      <w:r>
        <w:t xml:space="preserve">AIC penalties against the more complex model, a parametric-bootstrap</w:t>
      </w:r>
      <w:r>
        <w:t xml:space="preserve"> </w:t>
      </w:r>
      <w:r>
        <w:t xml:space="preserve">likelihood-ratio check, and an outlier-screened meta-analysis) and a</w:t>
      </w:r>
      <w:r>
        <w:t xml:space="preserve"> </w:t>
      </w:r>
      <w:r>
        <w:t xml:space="preserve">non-parametric density cross-check. We are careful about the label: what we</w:t>
      </w:r>
      <w:r>
        <w:t xml:space="preserve"> </w:t>
      </w:r>
      <w:r>
        <w:t xml:space="preserve">measure is a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phase: the hour at which a player’s in-game output</w:t>
      </w:r>
      <w:r>
        <w:t xml:space="preserve"> </w:t>
      </w:r>
      <w:r>
        <w:t xml:space="preserve">peaks, which is not the physiological dim-light melatonin onset. Behavioral phase is</w:t>
      </w:r>
      <w:r>
        <w:t xml:space="preserve"> </w:t>
      </w:r>
      <w:r>
        <w:t xml:space="preserve">shaped by chronotype but also by school, work and social schedules. The bimodality</w:t>
      </w:r>
      <w:r>
        <w:t xml:space="preserve"> </w:t>
      </w:r>
      <w:r>
        <w:t xml:space="preserve">is genuine; whether each mode maps one-to-one onto a biological chronotype is a</w:t>
      </w:r>
      <w:r>
        <w:t xml:space="preserve"> </w:t>
      </w:r>
      <w:r>
        <w:t xml:space="preserve">question of interpretation that our data cannot settle.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and because both teams in a match share the same server clock, a</w:t>
      </w:r>
      <w:r>
        <w:t xml:space="preserve"> </w:t>
      </w:r>
      <w:r>
        <w:t xml:space="preserve">pure time-of-day effect cancels within every game and cannot move the result.</w:t>
      </w:r>
      <w:r>
        <w:t xml:space="preserve"> </w:t>
      </w:r>
      <w:r>
        <w:t xml:space="preserve">The two timescales behave differently: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the practical implication is twofold: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</w:t>
      </w:r>
      <w:r>
        <w:t xml:space="preserve"> </w:t>
      </w:r>
      <w:r>
        <w:t xml:space="preserve">of day, but the matchmaking ladder largely cancels its effect on measured skill.</w:t>
      </w:r>
    </w:p>
    <w:p>
      <w:pPr>
        <w:pStyle w:val="BodyText"/>
      </w:pPr>
      <w:r>
        <w:t xml:space="preserve">For digital-behavior research, the implication is that temporal behavioral</w:t>
      </w:r>
      <w:r>
        <w:t xml:space="preserve"> </w:t>
      </w:r>
      <w:r>
        <w:t xml:space="preserve">phenotypes can be pronounced even when headline success metrics look flat. This</w:t>
      </w:r>
      <w:r>
        <w:t xml:space="preserve"> </w:t>
      </w:r>
      <w:r>
        <w:t xml:space="preserve">gap matters for how we read digital performance traces: a null effect in an</w:t>
      </w:r>
      <w:r>
        <w:t xml:space="preserve"> </w:t>
      </w:r>
      <w:r>
        <w:t xml:space="preserve">outcome variable can still hide psychologically meaningful time-of-day structure.</w:t>
      </w:r>
      <w:r>
        <w:t xml:space="preserve"> </w:t>
      </w:r>
      <w:r>
        <w:t xml:space="preserve">It also suggests that interventions framed around timing (for example scheduling,</w:t>
      </w:r>
      <w:r>
        <w:t xml:space="preserve"> </w:t>
      </w:r>
      <w:r>
        <w:t xml:space="preserve">training routines, or nudges) may alter engagement and play style more readily</w:t>
      </w:r>
      <w:r>
        <w:t xml:space="preserve"> </w:t>
      </w:r>
      <w:r>
        <w:t xml:space="preserve">than rank outcomes in strongly equilibrating systems.</w:t>
      </w:r>
    </w:p>
    <w:bookmarkStart w:id="63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chronotype mixture we recover need not</w:t>
      </w:r>
      <w:r>
        <w:t xml:space="preserve"> </w:t>
      </w:r>
      <w:r>
        <w:t xml:space="preserve">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zones; the residual</w:t>
      </w:r>
      <w:r>
        <w:t xml:space="preserve"> </w:t>
      </w:r>
      <w:r>
        <w:t xml:space="preserve">across-server spread this leaves is 1.12 h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 Daily maintenance</w:t>
      </w:r>
      <w:r>
        <w:t xml:space="preserve"> </w:t>
      </w:r>
      <w:r>
        <w:t xml:space="preserve">windows remove a few hours of exposure from JP1, LA1 and LA2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which censors those hours rather than sampling them. The two-component von</w:t>
      </w:r>
      <w:r>
        <w:t xml:space="preserve"> </w:t>
      </w:r>
      <w:r>
        <w:t xml:space="preserve">Mises model is the simplest test for bimodality and does not exclude richer</w:t>
      </w:r>
      <w:r>
        <w:t xml:space="preserve"> </w:t>
      </w:r>
      <w:r>
        <w:t xml:space="preserve">multi-modal or continuous structure.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63"/>
    <w:bookmarkStart w:id="64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behavior is</w:t>
      </w:r>
      <w:r>
        <w:t xml:space="preserve"> </w:t>
      </w:r>
      <w:r>
        <w:t xml:space="preserve">circadian and the distribution of personal peak times is bimodal (a</w:t>
      </w:r>
      <w:r>
        <w:t xml:space="preserve"> </w:t>
      </w:r>
      <w:r>
        <w:t xml:space="preserve">data-driven echo of larks and owls), while competitive outcome is not.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mixtures, and parametric-bootstrap model checking, meta-analyzed across</w:t>
      </w:r>
      <w:r>
        <w:t xml:space="preserve"> </w:t>
      </w:r>
      <w:r>
        <w:t xml:space="preserve">servers) is a reusable template for similar questions in other large behavioral</w:t>
      </w:r>
      <w:r>
        <w:t xml:space="preserve"> </w:t>
      </w:r>
      <w:r>
        <w:t xml:space="preserve">datasets.</w:t>
      </w:r>
    </w:p>
    <w:bookmarkEnd w:id="64"/>
    <w:bookmarkEnd w:id="65"/>
    <w:bookmarkStart w:id="75" w:name="declarations"/>
    <w:p>
      <w:pPr>
        <w:pStyle w:val="Heading1"/>
      </w:pPr>
      <w:r>
        <w:t xml:space="preserve">Declarations</w:t>
      </w:r>
    </w:p>
    <w:bookmarkStart w:id="66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66"/>
    <w:bookmarkStart w:id="67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67"/>
    <w:bookmarkStart w:id="69" w:name="availability-of-data-and-materials"/>
    <w:p>
      <w:pPr>
        <w:pStyle w:val="Heading2"/>
      </w:pPr>
      <w:r>
        <w:t xml:space="preserve">4.5 Availability of data and materials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68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69"/>
    <w:bookmarkStart w:id="70" w:name="competing-interests"/>
    <w:p>
      <w:pPr>
        <w:pStyle w:val="Heading2"/>
      </w:pPr>
      <w:r>
        <w:t xml:space="preserve">4.6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70"/>
    <w:bookmarkStart w:id="71" w:name="funding"/>
    <w:p>
      <w:pPr>
        <w:pStyle w:val="Heading2"/>
      </w:pPr>
      <w:r>
        <w:t xml:space="preserve">4.7 Funding</w:t>
      </w:r>
    </w:p>
    <w:p>
      <w:pPr>
        <w:pStyle w:val="FirstParagraph"/>
      </w:pPr>
      <w:r>
        <w:t xml:space="preserve">No specific funding was received for this work.</w:t>
      </w:r>
    </w:p>
    <w:bookmarkEnd w:id="71"/>
    <w:bookmarkStart w:id="72" w:name="abbreviations"/>
    <w:p>
      <w:pPr>
        <w:pStyle w:val="Heading2"/>
      </w:pPr>
      <w:r>
        <w:t xml:space="preserve">4.8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72"/>
    <w:bookmarkStart w:id="73" w:name="authors-contributions"/>
    <w:p>
      <w:pPr>
        <w:pStyle w:val="Heading2"/>
      </w:pPr>
      <w:r>
        <w:t xml:space="preserve">4.9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3"/>
    <w:bookmarkStart w:id="74" w:name="acknowledgements"/>
    <w:p>
      <w:pPr>
        <w:pStyle w:val="Heading2"/>
      </w:pPr>
      <w:r>
        <w:t xml:space="preserve">4.10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74"/>
    <w:bookmarkEnd w:id="75"/>
    <w:bookmarkStart w:id="128" w:name="references"/>
    <w:p>
      <w:pPr>
        <w:pStyle w:val="Heading1"/>
      </w:pPr>
      <w:r>
        <w:t xml:space="preserve">References</w:t>
      </w:r>
    </w:p>
    <w:bookmarkStart w:id="127" w:name="refs"/>
    <w:bookmarkStart w:id="77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76">
        <w:r>
          <w:rPr>
            <w:rStyle w:val="Hyperlink"/>
          </w:rPr>
          <w:t xml:space="preserve">https://doi.org/10.1016/j.smrv.2007.07.005</w:t>
        </w:r>
      </w:hyperlink>
    </w:p>
    <w:bookmarkEnd w:id="77"/>
    <w:bookmarkStart w:id="79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78">
        <w:r>
          <w:rPr>
            <w:rStyle w:val="Hyperlink"/>
          </w:rPr>
          <w:t xml:space="preserve">https://doi.org/10.1080/02643290701754158</w:t>
        </w:r>
      </w:hyperlink>
    </w:p>
    <w:bookmarkEnd w:id="79"/>
    <w:bookmarkStart w:id="80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80"/>
    <w:bookmarkStart w:id="82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81">
        <w:r>
          <w:rPr>
            <w:rStyle w:val="Hyperlink"/>
          </w:rPr>
          <w:t xml:space="preserve">https://doi.org/10.1177/0748730402239679</w:t>
        </w:r>
      </w:hyperlink>
    </w:p>
    <w:bookmarkEnd w:id="82"/>
    <w:bookmarkStart w:id="84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3">
        <w:r>
          <w:rPr>
            <w:rStyle w:val="Hyperlink"/>
          </w:rPr>
          <w:t xml:space="preserve">https://doi.org/10.3109/07420528.2012.719971</w:t>
        </w:r>
      </w:hyperlink>
    </w:p>
    <w:bookmarkEnd w:id="84"/>
    <w:bookmarkStart w:id="86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85">
        <w:r>
          <w:rPr>
            <w:rStyle w:val="Hyperlink"/>
          </w:rPr>
          <w:t xml:space="preserve">https://doi.org/10.1038/s41598-018-23044-8</w:t>
        </w:r>
      </w:hyperlink>
    </w:p>
    <w:bookmarkEnd w:id="86"/>
    <w:bookmarkStart w:id="88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87">
        <w:r>
          <w:rPr>
            <w:rStyle w:val="Hyperlink"/>
          </w:rPr>
          <w:t xml:space="preserve">https://doi.org/10.1016/j.cub.2014.12.036</w:t>
        </w:r>
      </w:hyperlink>
    </w:p>
    <w:bookmarkEnd w:id="88"/>
    <w:bookmarkStart w:id="90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89">
        <w:r>
          <w:rPr>
            <w:rStyle w:val="Hyperlink"/>
          </w:rPr>
          <w:t xml:space="preserve">https://doi.org/10.3390/medicina60121950</w:t>
        </w:r>
      </w:hyperlink>
    </w:p>
    <w:bookmarkEnd w:id="90"/>
    <w:bookmarkStart w:id="92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91">
        <w:r>
          <w:rPr>
            <w:rStyle w:val="Hyperlink"/>
          </w:rPr>
          <w:t xml:space="preserve">https://doi.org/10.1371/journal.pone.0237584</w:t>
        </w:r>
      </w:hyperlink>
    </w:p>
    <w:bookmarkEnd w:id="92"/>
    <w:bookmarkStart w:id="94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3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94"/>
    <w:bookmarkStart w:id="96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95">
        <w:r>
          <w:rPr>
            <w:rStyle w:val="Hyperlink"/>
          </w:rPr>
          <w:t xml:space="preserve">https://doi.org/10.1371/journal.pone.0275843</w:t>
        </w:r>
      </w:hyperlink>
    </w:p>
    <w:bookmarkEnd w:id="96"/>
    <w:bookmarkStart w:id="98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97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98"/>
    <w:bookmarkStart w:id="100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99">
        <w:r>
          <w:rPr>
            <w:rStyle w:val="Hyperlink"/>
          </w:rPr>
          <w:t xml:space="preserve">https://doi.org/10.1007/BF00648343</w:t>
        </w:r>
      </w:hyperlink>
    </w:p>
    <w:bookmarkEnd w:id="100"/>
    <w:bookmarkStart w:id="102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101">
        <w:r>
          <w:rPr>
            <w:rStyle w:val="Hyperlink"/>
          </w:rPr>
          <w:t xml:space="preserve">https://doi.org/10.1086/160554</w:t>
        </w:r>
      </w:hyperlink>
    </w:p>
    <w:bookmarkEnd w:id="102"/>
    <w:bookmarkStart w:id="104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3">
        <w:r>
          <w:rPr>
            <w:rStyle w:val="Hyperlink"/>
          </w:rPr>
          <w:t xml:space="preserve">https://doi.org/10.3847/1538-3881/aabc4f</w:t>
        </w:r>
      </w:hyperlink>
    </w:p>
    <w:bookmarkEnd w:id="104"/>
    <w:bookmarkStart w:id="106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05">
        <w:r>
          <w:rPr>
            <w:rStyle w:val="Hyperlink"/>
          </w:rPr>
          <w:t xml:space="preserve">https://doi.org/10.3847/1538-4365/aab766</w:t>
        </w:r>
      </w:hyperlink>
    </w:p>
    <w:bookmarkEnd w:id="106"/>
    <w:bookmarkStart w:id="108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07">
        <w:r>
          <w:rPr>
            <w:rStyle w:val="Hyperlink"/>
          </w:rPr>
          <w:t xml:space="preserve">https://doi.org/10.1111/j.2517-6161.1995.tb02031.x</w:t>
        </w:r>
      </w:hyperlink>
    </w:p>
    <w:bookmarkEnd w:id="108"/>
    <w:bookmarkStart w:id="110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09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10"/>
    <w:bookmarkStart w:id="112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11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12"/>
    <w:bookmarkStart w:id="114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3">
        <w:r>
          <w:rPr>
            <w:rStyle w:val="Hyperlink"/>
          </w:rPr>
          <w:t xml:space="preserve">https://doi.org/10.18637/jss.v031.i10</w:t>
        </w:r>
      </w:hyperlink>
    </w:p>
    <w:bookmarkEnd w:id="114"/>
    <w:bookmarkStart w:id="116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15">
        <w:r>
          <w:rPr>
            <w:rStyle w:val="Hyperlink"/>
          </w:rPr>
          <w:t xml:space="preserve">https://doi.org/10.1109/TAC.1974.1100705</w:t>
        </w:r>
      </w:hyperlink>
    </w:p>
    <w:bookmarkEnd w:id="116"/>
    <w:bookmarkStart w:id="118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17">
        <w:r>
          <w:rPr>
            <w:rStyle w:val="Hyperlink"/>
          </w:rPr>
          <w:t xml:space="preserve">https://doi.org/10.1214/aos/1176344136</w:t>
        </w:r>
      </w:hyperlink>
    </w:p>
    <w:bookmarkEnd w:id="118"/>
    <w:bookmarkStart w:id="120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19">
        <w:r>
          <w:rPr>
            <w:rStyle w:val="Hyperlink"/>
          </w:rPr>
          <w:t xml:space="preserve">https://doi.org/10.1038/s41586-020-2649-2</w:t>
        </w:r>
      </w:hyperlink>
    </w:p>
    <w:bookmarkEnd w:id="120"/>
    <w:bookmarkStart w:id="122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21">
        <w:r>
          <w:rPr>
            <w:rStyle w:val="Hyperlink"/>
          </w:rPr>
          <w:t xml:space="preserve">https://doi.org/10.1038/s41592-019-0686-2</w:t>
        </w:r>
      </w:hyperlink>
    </w:p>
    <w:bookmarkEnd w:id="122"/>
    <w:bookmarkStart w:id="124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3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24"/>
    <w:bookmarkStart w:id="126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25">
        <w:r>
          <w:rPr>
            <w:rStyle w:val="Hyperlink"/>
          </w:rPr>
          <w:t xml:space="preserve">https://doi.org/10.1109/MCSE.2007.55</w:t>
        </w:r>
      </w:hyperlink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42" Target="media/rId42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hyperlink" Id="rId111" Target="https://doi.org/10.1002/9780470316979" TargetMode="External" /><Relationship Type="http://schemas.openxmlformats.org/officeDocument/2006/relationships/hyperlink" Id="rId99" Target="https://doi.org/10.1007/BF00648343" TargetMode="External" /><Relationship Type="http://schemas.openxmlformats.org/officeDocument/2006/relationships/hyperlink" Id="rId87" Target="https://doi.org/10.1016/j.cub.2014.12.036" TargetMode="External" /><Relationship Type="http://schemas.openxmlformats.org/officeDocument/2006/relationships/hyperlink" Id="rId76" Target="https://doi.org/10.1016/j.smrv.2007.07.005" TargetMode="External" /><Relationship Type="http://schemas.openxmlformats.org/officeDocument/2006/relationships/hyperlink" Id="rId109" Target="https://doi.org/10.1017/CBO9780511564345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21" Target="https://doi.org/10.1038/s41592-019-0686-2" TargetMode="External" /><Relationship Type="http://schemas.openxmlformats.org/officeDocument/2006/relationships/hyperlink" Id="rId85" Target="https://doi.org/10.1038/s41598-018-23044-8" TargetMode="External" /><Relationship Type="http://schemas.openxmlformats.org/officeDocument/2006/relationships/hyperlink" Id="rId78" Target="https://doi.org/10.1080/02643290701754158" TargetMode="External" /><Relationship Type="http://schemas.openxmlformats.org/officeDocument/2006/relationships/hyperlink" Id="rId101" Target="https://doi.org/10.1086/160554" TargetMode="External" /><Relationship Type="http://schemas.openxmlformats.org/officeDocument/2006/relationships/hyperlink" Id="rId93" Target="https://doi.org/10.1109/CIG.2018.8490431" TargetMode="External" /><Relationship Type="http://schemas.openxmlformats.org/officeDocument/2006/relationships/hyperlink" Id="rId125" Target="https://doi.org/10.1109/MCSE.2007.55" TargetMode="External" /><Relationship Type="http://schemas.openxmlformats.org/officeDocument/2006/relationships/hyperlink" Id="rId115" Target="https://doi.org/10.1109/TAC.1974.1100705" TargetMode="External" /><Relationship Type="http://schemas.openxmlformats.org/officeDocument/2006/relationships/hyperlink" Id="rId107" Target="https://doi.org/10.1111/j.2517-6161.1995.tb02031.x" TargetMode="External" /><Relationship Type="http://schemas.openxmlformats.org/officeDocument/2006/relationships/hyperlink" Id="rId97" Target="https://doi.org/10.1145/3299869.3320212" TargetMode="External" /><Relationship Type="http://schemas.openxmlformats.org/officeDocument/2006/relationships/hyperlink" Id="rId81" Target="https://doi.org/10.1177/0748730402239679" TargetMode="External" /><Relationship Type="http://schemas.openxmlformats.org/officeDocument/2006/relationships/hyperlink" Id="rId117" Target="https://doi.org/10.1214/aos/1176344136" TargetMode="External" /><Relationship Type="http://schemas.openxmlformats.org/officeDocument/2006/relationships/hyperlink" Id="rId91" Target="https://doi.org/10.1371/journal.pone.0237584" TargetMode="External" /><Relationship Type="http://schemas.openxmlformats.org/officeDocument/2006/relationships/hyperlink" Id="rId95" Target="https://doi.org/10.1371/journal.pone.0275843" TargetMode="External" /><Relationship Type="http://schemas.openxmlformats.org/officeDocument/2006/relationships/hyperlink" Id="rId113" Target="https://doi.org/10.18637/jss.v031.i10" TargetMode="External" /><Relationship Type="http://schemas.openxmlformats.org/officeDocument/2006/relationships/hyperlink" Id="rId123" Target="https://doi.org/10.25080/Majora-92bf1922-00a" TargetMode="External" /><Relationship Type="http://schemas.openxmlformats.org/officeDocument/2006/relationships/hyperlink" Id="rId83" Target="https://doi.org/10.3109/07420528.2012.719971" TargetMode="External" /><Relationship Type="http://schemas.openxmlformats.org/officeDocument/2006/relationships/hyperlink" Id="rId89" Target="https://doi.org/10.3390/medicina60121950" TargetMode="External" /><Relationship Type="http://schemas.openxmlformats.org/officeDocument/2006/relationships/hyperlink" Id="rId103" Target="https://doi.org/10.3847/1538-3881/aabc4f" TargetMode="External" /><Relationship Type="http://schemas.openxmlformats.org/officeDocument/2006/relationships/hyperlink" Id="rId105" Target="https://doi.org/10.3847/1538-4365/aab766" TargetMode="External" /><Relationship Type="http://schemas.openxmlformats.org/officeDocument/2006/relationships/hyperlink" Id="rId68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doi.org/10.1002/9780470316979" TargetMode="External" /><Relationship Type="http://schemas.openxmlformats.org/officeDocument/2006/relationships/hyperlink" Id="rId99" Target="https://doi.org/10.1007/BF00648343" TargetMode="External" /><Relationship Type="http://schemas.openxmlformats.org/officeDocument/2006/relationships/hyperlink" Id="rId87" Target="https://doi.org/10.1016/j.cub.2014.12.036" TargetMode="External" /><Relationship Type="http://schemas.openxmlformats.org/officeDocument/2006/relationships/hyperlink" Id="rId76" Target="https://doi.org/10.1016/j.smrv.2007.07.005" TargetMode="External" /><Relationship Type="http://schemas.openxmlformats.org/officeDocument/2006/relationships/hyperlink" Id="rId109" Target="https://doi.org/10.1017/CBO9780511564345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21" Target="https://doi.org/10.1038/s41592-019-0686-2" TargetMode="External" /><Relationship Type="http://schemas.openxmlformats.org/officeDocument/2006/relationships/hyperlink" Id="rId85" Target="https://doi.org/10.1038/s41598-018-23044-8" TargetMode="External" /><Relationship Type="http://schemas.openxmlformats.org/officeDocument/2006/relationships/hyperlink" Id="rId78" Target="https://doi.org/10.1080/02643290701754158" TargetMode="External" /><Relationship Type="http://schemas.openxmlformats.org/officeDocument/2006/relationships/hyperlink" Id="rId101" Target="https://doi.org/10.1086/160554" TargetMode="External" /><Relationship Type="http://schemas.openxmlformats.org/officeDocument/2006/relationships/hyperlink" Id="rId93" Target="https://doi.org/10.1109/CIG.2018.8490431" TargetMode="External" /><Relationship Type="http://schemas.openxmlformats.org/officeDocument/2006/relationships/hyperlink" Id="rId125" Target="https://doi.org/10.1109/MCSE.2007.55" TargetMode="External" /><Relationship Type="http://schemas.openxmlformats.org/officeDocument/2006/relationships/hyperlink" Id="rId115" Target="https://doi.org/10.1109/TAC.1974.1100705" TargetMode="External" /><Relationship Type="http://schemas.openxmlformats.org/officeDocument/2006/relationships/hyperlink" Id="rId107" Target="https://doi.org/10.1111/j.2517-6161.1995.tb02031.x" TargetMode="External" /><Relationship Type="http://schemas.openxmlformats.org/officeDocument/2006/relationships/hyperlink" Id="rId97" Target="https://doi.org/10.1145/3299869.3320212" TargetMode="External" /><Relationship Type="http://schemas.openxmlformats.org/officeDocument/2006/relationships/hyperlink" Id="rId81" Target="https://doi.org/10.1177/0748730402239679" TargetMode="External" /><Relationship Type="http://schemas.openxmlformats.org/officeDocument/2006/relationships/hyperlink" Id="rId117" Target="https://doi.org/10.1214/aos/1176344136" TargetMode="External" /><Relationship Type="http://schemas.openxmlformats.org/officeDocument/2006/relationships/hyperlink" Id="rId91" Target="https://doi.org/10.1371/journal.pone.0237584" TargetMode="External" /><Relationship Type="http://schemas.openxmlformats.org/officeDocument/2006/relationships/hyperlink" Id="rId95" Target="https://doi.org/10.1371/journal.pone.0275843" TargetMode="External" /><Relationship Type="http://schemas.openxmlformats.org/officeDocument/2006/relationships/hyperlink" Id="rId113" Target="https://doi.org/10.18637/jss.v031.i10" TargetMode="External" /><Relationship Type="http://schemas.openxmlformats.org/officeDocument/2006/relationships/hyperlink" Id="rId123" Target="https://doi.org/10.25080/Majora-92bf1922-00a" TargetMode="External" /><Relationship Type="http://schemas.openxmlformats.org/officeDocument/2006/relationships/hyperlink" Id="rId83" Target="https://doi.org/10.3109/07420528.2012.719971" TargetMode="External" /><Relationship Type="http://schemas.openxmlformats.org/officeDocument/2006/relationships/hyperlink" Id="rId89" Target="https://doi.org/10.3390/medicina60121950" TargetMode="External" /><Relationship Type="http://schemas.openxmlformats.org/officeDocument/2006/relationships/hyperlink" Id="rId103" Target="https://doi.org/10.3847/1538-3881/aabc4f" TargetMode="External" /><Relationship Type="http://schemas.openxmlformats.org/officeDocument/2006/relationships/hyperlink" Id="rId105" Target="https://doi.org/10.3847/1538-4365/aab766" TargetMode="External" /><Relationship Type="http://schemas.openxmlformats.org/officeDocument/2006/relationships/hyperlink" Id="rId68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human behavior, digital behavior, self-regulation, digital trace data, League of Legends, Lomb–Scargle periodogram, computational social science</cp:keywords>
  <dcterms:created xsi:type="dcterms:W3CDTF">2026-07-13T13:49:30Z</dcterms:created>
  <dcterms:modified xsi:type="dcterms:W3CDTF">2026-07-13T13:49:30Z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peak: the morning-preferring “larks” and evening-preferring “owls” of chronotype research. We asked whether these rhythms appear in large-scale behavioral traces from ranked League of Legends matches. Using ~92.7 million games drawn from the top ~1,000 players on each of 8 regional servers, we built per-player hourly time series of in-game behavior (two principal components of performance, PC1 and PC2) and of a skill-outcome measure (the change in matchmaking rating, ΔMMR). Play volume is governed by local time: correcting each server by its fixed UTC offset collapses the eight play-volume curves onto one evening-peaked schedule, cutting the across-server spread in mean play hour from 5.83 h to 1.12 h. Within-subject Lomb–Scargle periodograms revealed a sharp circadian peak: across servers the N-weighted best period was 23.96 h for PC1 and 23.94 h for PC2, and the population playtime periodogram peaked at exactly 24.0 h on every server. Per-player peak phases were individually significant for 21.4% of players on PC1 and 18.5% on PC2. Pooling these significant phases, a two-component von Mises mixture was preferred over a single component by both BIC and AIC for PC1 and PC2. Parametric-bootstrap likelihood-ratio tests supported both comparisons, a quantitative signature of two chronotype-like clusters. In contrast, ΔMMR carried essentially no circadian signal (0.3% of players FDR-significant; no server reached the threshold for a modality test). Behavior is strongly time-of-day structured and bimodally so, consistent with larks and owls; competitive success is not. We discuss implications for digital behavior research, including how temporal self-selection and platform ecology can shape observed performance patterns.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../springer-basic-brackets.csl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