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43.png" ContentType="image/png"/>
  <Override PartName="/word/media/rId32.png" ContentType="image/png"/>
  <Override PartName="/word/media/rId54.png" ContentType="image/png"/>
  <Override PartName="/word/media/rId47.png" ContentType="image/png"/>
  <Override PartName="/word/media/rId37.png" ContentType="image/png"/>
  <Override PartName="/word/media/rId27.png" ContentType="image/png"/>
  <Override PartName="/word/media/" ContentType="application/octet-stream"/>
  <Override PartName="/word/media/rId53.png" ContentType="image/png"/>
  <Override PartName="/word/media/rId27.png" ContentType="image/png"/>
  <Override PartName="/word/media/rId42.png" ContentType="image/png"/>
  <Override PartName="/word/media/rId32.png" ContentType="image/png"/>
  <Override PartName="/word/media/rId49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 differences in circadian rhythms measured at a global scale</w:t>
      </w:r>
    </w:p>
    <w:p>
      <w:pPr>
        <w:pStyle w:val="Author"/>
      </w:pPr>
      <w:r>
        <w:t xml:space="preserve">Alex R Wade</w:t>
      </w:r>
    </w:p>
    <w:p>
      <w:pPr>
        <w:pStyle w:val="Date"/>
      </w:pPr>
      <w:r>
        <w:t xml:space="preserve">2026-06-05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Human cognition and physical performance vary across the day, and individuals</w:t>
      </w:r>
      <w:r>
        <w:t xml:space="preserve"> </w:t>
      </w:r>
      <w:r>
        <w:t xml:space="preserve">differ systematically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peak: the morning-preferring</w:t>
      </w:r>
      <w:r>
        <w:t xml:space="preserve"> </w:t>
      </w:r>
      <w:r>
        <w:t xml:space="preserve">“larks”</w:t>
      </w:r>
      <w:r>
        <w:t xml:space="preserve"> </w:t>
      </w:r>
      <w:r>
        <w:t xml:space="preserve">and</w:t>
      </w:r>
      <w:r>
        <w:t xml:space="preserve"> </w:t>
      </w:r>
      <w:r>
        <w:t xml:space="preserve">evening-preferring</w:t>
      </w:r>
      <w:r>
        <w:t xml:space="preserve"> </w:t>
      </w:r>
      <w:r>
        <w:t xml:space="preserve">“owls”</w:t>
      </w:r>
      <w:r>
        <w:t xml:space="preserve"> </w:t>
      </w:r>
      <w:r>
        <w:t xml:space="preserve">of chronotype research. We asked whether these rhythms</w:t>
      </w:r>
      <w:r>
        <w:t xml:space="preserve"> </w:t>
      </w:r>
      <w:r>
        <w:t xml:space="preserve">appear in large-scale behavioural traces from ranked</w:t>
      </w:r>
      <w:r>
        <w:t xml:space="preserve"> </w:t>
      </w:r>
      <w:r>
        <w:rPr>
          <w:i/>
          <w:iCs/>
        </w:rPr>
        <w:t xml:space="preserve">League of</w:t>
      </w:r>
      <w:r>
        <w:rPr>
          <w:i/>
          <w:iCs/>
        </w:rPr>
        <w:t xml:space="preserve"> </w:t>
      </w:r>
      <w:r>
        <w:rPr>
          <w:i/>
          <w:iCs/>
        </w:rPr>
        <w:t xml:space="preserve">Legends</w:t>
      </w:r>
      <w:r>
        <w:t xml:space="preserve"> </w:t>
      </w:r>
      <w:r>
        <w:t xml:space="preserve">matches. Using ~92.7 million games drawn from the top ~1,000 players</w:t>
      </w:r>
      <w:r>
        <w:t xml:space="preserve"> </w:t>
      </w:r>
      <w:r>
        <w:t xml:space="preserve">on each of 8 regional servers, we built per-player hourly time series of</w:t>
      </w:r>
      <w:r>
        <w:t xml:space="preserve"> </w:t>
      </w:r>
      <w:r>
        <w:t xml:space="preserve">in-game behaviour (two principal components of performance, PC1 and PC2) and of</w:t>
      </w:r>
      <w:r>
        <w:t xml:space="preserve"> </w:t>
      </w:r>
      <w:r>
        <w:t xml:space="preserve">a skill-outcome measure (the change in matchmaking rating, ΔMMR). Play volume is</w:t>
      </w:r>
      <w:r>
        <w:t xml:space="preserve"> </w:t>
      </w:r>
      <w:r>
        <w:t xml:space="preserve">governed by local time: correcting each server by its fixed UTC offset collapses</w:t>
      </w:r>
      <w:r>
        <w:t xml:space="preserve"> </w:t>
      </w:r>
      <w:r>
        <w:t xml:space="preserve">the eight play-volume curves onto one evening-peaked schedule, cutting the</w:t>
      </w:r>
      <w:r>
        <w:t xml:space="preserve"> </w:t>
      </w:r>
      <w:r>
        <w:t xml:space="preserve">across-server spread in mean play hour from 5.83 h to 1.12 h. Within-subject</w:t>
      </w:r>
      <w:r>
        <w:t xml:space="preserve"> </w:t>
      </w:r>
      <w:r>
        <w:t xml:space="preserve">Lomb–Scargle periodograms revealed a sharp circadian peak: across servers the</w:t>
      </w:r>
      <w:r>
        <w:t xml:space="preserve"> </w:t>
      </w:r>
      <w:r>
        <w:t xml:space="preserve">N-weighted best period was 23.96 h for PC1 and 23.94 h for PC2, and the population playtime periodogram peaked at exactly 24.0 h on</w:t>
      </w:r>
      <w:r>
        <w:t xml:space="preserve"> </w:t>
      </w:r>
      <w:r>
        <w:t xml:space="preserve">every server. Per-player peak phases were individually significant for 21.4% of players on PC1 and 18.5% on PC2. Pooling these</w:t>
      </w:r>
      <w:r>
        <w:t xml:space="preserve"> </w:t>
      </w:r>
      <w:r>
        <w:t xml:space="preserve">significant phases, a two-component von Mises mixture was preferred over a single</w:t>
      </w:r>
      <w:r>
        <w:t xml:space="preserve"> </w:t>
      </w:r>
      <w:r>
        <w:t xml:space="preserve">component by both BIC and AIC for PC1 and PC2. Parametric-bootstrap likelihood-ratio tests supported</w:t>
      </w:r>
      <w:r>
        <w:t xml:space="preserve"> </w:t>
      </w:r>
      <w:r>
        <w:t xml:space="preserve">both comparisons, a quantitative signature of two chronotype-like</w:t>
      </w:r>
      <w:r>
        <w:t xml:space="preserve"> </w:t>
      </w:r>
      <w:r>
        <w:t xml:space="preserve">clusters. In contrast, ΔMMR carried essentially no circadian</w:t>
      </w:r>
      <w:r>
        <w:t xml:space="preserve"> </w:t>
      </w:r>
      <w:r>
        <w:t xml:space="preserve">signal (0.3% of players FDR-significant; no server reached the threshold for a</w:t>
      </w:r>
      <w:r>
        <w:t xml:space="preserve"> </w:t>
      </w:r>
      <w:r>
        <w:t xml:space="preserve">modality test). Behaviour is strongly time-of-day structured and</w:t>
      </w:r>
      <w:r>
        <w:t xml:space="preserve"> </w:t>
      </w:r>
      <w:r>
        <w:t xml:space="preserve">bimodally so, consistent with larks and owls; competitive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is not. We</w:t>
      </w:r>
      <w:r>
        <w:t xml:space="preserve"> </w:t>
      </w:r>
      <w:r>
        <w:t xml:space="preserve">release the full analysis code and de-identified derived outputs underlying all</w:t>
      </w:r>
      <w:r>
        <w:t xml:space="preserve"> </w:t>
      </w:r>
      <w:r>
        <w:t xml:space="preserve">figures and summary statistics, and we discuss interpretation limits and data-</w:t>
      </w:r>
      <w:r>
        <w:t xml:space="preserve"> </w:t>
      </w:r>
      <w:r>
        <w:t xml:space="preserve">sharing constraints for public match telemetry.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Almost every measured aspect of human physiology and behaviour oscillates with a</w:t>
      </w:r>
      <w:r>
        <w:t xml:space="preserve"> </w:t>
      </w:r>
      <w:r>
        <w:t xml:space="preserve">period of approximately 24 hours, driven by an endogenous circadian clock that is</w:t>
      </w:r>
      <w:r>
        <w:t xml:space="preserve"> </w:t>
      </w:r>
      <w:r>
        <w:t xml:space="preserve">entrained to the local light–dark cycle</w:t>
      </w:r>
      <w:r>
        <w:t xml:space="preserve"> </w:t>
      </w:r>
      <w:r>
        <w:t xml:space="preserve">[1]</w:t>
      </w:r>
      <w:r>
        <w:t xml:space="preserve">. These</w:t>
      </w:r>
      <w:r>
        <w:t xml:space="preserve"> </w:t>
      </w:r>
      <w:r>
        <w:t xml:space="preserve">rhythms reach into cognition: attention, working memory, reaction time and</w:t>
      </w:r>
      <w:r>
        <w:t xml:space="preserve"> </w:t>
      </w:r>
      <w:r>
        <w:t xml:space="preserve">executive control all show reliable time-of-day modulation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phase</w:t>
      </w:r>
      <w:r>
        <w:t xml:space="preserve"> </w:t>
      </w:r>
      <w:r>
        <w:t xml:space="preserve">of these rhythms differs between people. The</w:t>
      </w:r>
      <w:r>
        <w:t xml:space="preserve"> </w:t>
      </w:r>
      <w:r>
        <w:t xml:space="preserve">morningness–eveningness dimension (colloquially</w:t>
      </w:r>
      <w:r>
        <w:t xml:space="preserve"> </w:t>
      </w:r>
      <w:r>
        <w:t xml:space="preserve">“larks”</w:t>
      </w:r>
      <w:r>
        <w:t xml:space="preserve"> </w:t>
      </w:r>
      <w:r>
        <w:t xml:space="preserve">versus</w:t>
      </w:r>
      <w:r>
        <w:t xml:space="preserve"> </w:t>
      </w:r>
      <w:r>
        <w:t xml:space="preserve">“owls”</w:t>
      </w:r>
      <w:r>
        <w:t xml:space="preserve">) is a</w:t>
      </w:r>
      <w:r>
        <w:t xml:space="preserve"> </w:t>
      </w:r>
      <w:r>
        <w:t xml:space="preserve">stable trait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distribution of chronotypes in a population is broad and roughly continuous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Chronotype matters for performance. When the timing of a demanding task is</w:t>
      </w:r>
      <w:r>
        <w:t xml:space="preserve"> </w:t>
      </w:r>
      <w:r>
        <w:t xml:space="preserve">misaligned with a person’s internal clock (</w:t>
      </w:r>
      <w:r>
        <w:rPr>
          <w:i/>
          <w:iCs/>
        </w:rPr>
        <w:t xml:space="preserve">social jet lag</w:t>
      </w:r>
      <w:r>
        <w:t xml:space="preserve">), outcomes suffer.</w:t>
      </w:r>
      <w:r>
        <w:t xml:space="preserve"> </w:t>
      </w:r>
      <w:r>
        <w:t xml:space="preserve">Using 3.4 million learning-management-system logins,</w:t>
      </w:r>
      <w:r>
        <w:t xml:space="preserve"> </w:t>
      </w:r>
      <w:r>
        <w:t xml:space="preserve">[6]</w:t>
      </w:r>
      <w:r>
        <w:t xml:space="preserve"> </w:t>
      </w:r>
      <w:r>
        <w:t xml:space="preserve">showed</w:t>
      </w:r>
      <w:r>
        <w:t xml:space="preserve"> </w:t>
      </w:r>
      <w:r>
        <w:t xml:space="preserve">that the majority of students are chronically misaligned with their class</w:t>
      </w:r>
      <w:r>
        <w:t xml:space="preserve"> </w:t>
      </w:r>
      <w:r>
        <w:t xml:space="preserve">schedules and that greater misalignment predicts lower grades. In elite sport,</w:t>
      </w:r>
      <w:r>
        <w:t xml:space="preserve"> </w:t>
      </w:r>
      <w:r>
        <w:t xml:space="preserve">[7]</w:t>
      </w:r>
      <w:r>
        <w:t xml:space="preserve"> </w:t>
      </w:r>
      <w:r>
        <w:t xml:space="preserve">found that an athlete’s peak performance time tracks their</w:t>
      </w:r>
      <w:r>
        <w:t xml:space="preserve"> </w:t>
      </w:r>
      <w:r>
        <w:t xml:space="preserve">circadian phenotype, with intra-day swings as large as ~26%. In gamers with</w:t>
      </w:r>
      <w:r>
        <w:t xml:space="preserve"> </w:t>
      </w:r>
      <w:r>
        <w:t xml:space="preserve">gaming disorder, eveningness has been linked to disrupted sleep and higher</w:t>
      </w:r>
      <w:r>
        <w:t xml:space="preserve"> </w:t>
      </w:r>
      <w:r>
        <w:t xml:space="preserve">gaming-disorder risk</w:t>
      </w:r>
      <w:r>
        <w:t xml:space="preserve"> </w:t>
      </w:r>
      <w:r>
        <w:t xml:space="preserve">[8]</w:t>
      </w:r>
      <w:r>
        <w:t xml:space="preserve">, and competitive performance in esports is a structured,</w:t>
      </w:r>
      <w:r>
        <w:t xml:space="preserve"> </w:t>
      </w:r>
      <w:r>
        <w:t xml:space="preserve">trainable skill set rather than mere reflex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Online competitive gaming offers an unusually clean natural experiment for</w:t>
      </w:r>
      <w:r>
        <w:t xml:space="preserve"> </w:t>
      </w:r>
      <w:r>
        <w:t xml:space="preserve">chronobiology at scale. Millions of timestamped, standardised, skill-graded</w:t>
      </w:r>
      <w:r>
        <w:t xml:space="preserve"> </w:t>
      </w:r>
      <w:r>
        <w:t xml:space="preserve">matches are played around the clock, across the globe, by the same individuals</w:t>
      </w:r>
      <w:r>
        <w:t xml:space="preserve"> </w:t>
      </w:r>
      <w:r>
        <w:t xml:space="preserve">over months. If circadian structure shapes human behaviour, it should be legible</w:t>
      </w:r>
      <w:r>
        <w:t xml:space="preserve"> </w:t>
      </w:r>
      <w:r>
        <w:t xml:space="preserve">in this telemetry.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(LoL), a five-versus-five multiplayer game</w:t>
      </w:r>
      <w:r>
        <w:t xml:space="preserve"> </w:t>
      </w:r>
      <w:r>
        <w:t xml:space="preserve">operated on geographically separated regional servers, is well suited to the</w:t>
      </w:r>
      <w:r>
        <w:t xml:space="preserve"> </w:t>
      </w:r>
      <w:r>
        <w:t xml:space="preserve">question: each server has a known local time zone, allowing matches to be aligned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hour, and matchmaking continuously updates each player’s skill estimate.</w:t>
      </w:r>
    </w:p>
    <w:p>
      <w:pPr>
        <w:pStyle w:val="BodyText"/>
      </w:pPr>
      <w:r>
        <w:t xml:space="preserve">We test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Existence.</w:t>
      </w:r>
      <w:r>
        <w:t xml:space="preserve"> </w:t>
      </w:r>
      <w:r>
        <w:t xml:space="preserve">Do individual players show ~24 h rhythms in their in-game</w:t>
      </w:r>
      <w:r>
        <w:t xml:space="preserve"> </w:t>
      </w:r>
      <w:r>
        <w:t xml:space="preserve">behaviour?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Bimodality (larks vs owls).</w:t>
      </w:r>
      <w:r>
        <w:t xml:space="preserve"> </w:t>
      </w:r>
      <w:r>
        <w:t xml:space="preserve">If rhythms exist, is the population of peak</w:t>
      </w:r>
      <w:r>
        <w:t xml:space="preserve"> </w:t>
      </w:r>
      <w:r>
        <w:t xml:space="preserve">times</w:t>
      </w:r>
      <w:r>
        <w:t xml:space="preserve"> </w:t>
      </w:r>
      <w:r>
        <w:rPr>
          <w:i/>
          <w:iCs/>
        </w:rPr>
        <w:t xml:space="preserve">bimodal</w:t>
      </w:r>
      <w:r>
        <w:t xml:space="preserve"> </w:t>
      </w:r>
      <w:r>
        <w:t xml:space="preserve">(clustering into morning-peaking and evening-peaking groups)</w:t>
      </w:r>
      <w:r>
        <w:t xml:space="preserve"> </w:t>
      </w:r>
      <w:r>
        <w:t xml:space="preserve">rather than a single mode?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Consequence.</w:t>
      </w:r>
      <w:r>
        <w:t xml:space="preserve"> </w:t>
      </w:r>
      <w:r>
        <w:t xml:space="preserve">Does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play (skill change, ΔMMR) carry the</w:t>
      </w:r>
      <w:r>
        <w:t xml:space="preserve"> </w:t>
      </w:r>
      <w:r>
        <w:t xml:space="preserve">same circadian signature as behaviour, or is success time-invariant?</w:t>
      </w:r>
    </w:p>
    <w:p>
      <w:pPr>
        <w:pStyle w:val="FirstParagraph"/>
      </w:pPr>
      <w:r>
        <w:t xml:space="preserve">We address these with a within-subject spectral analysis of ~8,000 high-ranked</w:t>
      </w:r>
      <w:r>
        <w:t xml:space="preserve"> </w:t>
      </w:r>
      <w:r>
        <w:t xml:space="preserve">players, replicated independently across 8 servers and combined by an N-weighted</w:t>
      </w:r>
      <w:r>
        <w:t xml:space="preserve"> </w:t>
      </w:r>
      <w:r>
        <w:t xml:space="preserve">meta-analysis.</w:t>
      </w:r>
    </w:p>
    <w:bookmarkEnd w:id="20"/>
    <w:bookmarkStart w:id="31" w:name="methods"/>
    <w:p>
      <w:pPr>
        <w:pStyle w:val="Heading1"/>
      </w:pPr>
      <w:r>
        <w:t xml:space="preserve">2. Methods</w:t>
      </w:r>
    </w:p>
    <w:bookmarkStart w:id="21" w:name="data-provenance-and-aggregation"/>
    <w:p>
      <w:pPr>
        <w:pStyle w:val="Heading2"/>
      </w:pPr>
      <w:r>
        <w:t xml:space="preserve">2.1 Data provenance and aggregation</w:t>
      </w:r>
    </w:p>
    <w:p>
      <w:pPr>
        <w:pStyle w:val="FirstParagraph"/>
      </w:pPr>
      <w:r>
        <w:t xml:space="preserve">The analysis reuses the large longitudinal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cohort provided by</w:t>
      </w:r>
      <w:r>
        <w:t xml:space="preserve"> </w:t>
      </w:r>
      <w:r>
        <w:t xml:space="preserve">Riot Games and described by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. Its defining feature is the sampling design: a random sample of</w:t>
      </w:r>
      <w:r>
        <w:t xml:space="preserve"> </w:t>
      </w:r>
      <w:r>
        <w:t xml:space="preserve">players who registered</w:t>
      </w:r>
      <w:r>
        <w:t xml:space="preserve"> </w:t>
      </w:r>
      <w:r>
        <w:rPr>
          <w:b/>
          <w:bCs/>
        </w:rPr>
        <w:t xml:space="preserve">new accounts at the start of a competitive season</w:t>
      </w:r>
      <w:r>
        <w:t xml:space="preserve"> </w:t>
      </w:r>
      <w:r>
        <w:t xml:space="preserve">(accounts with no prior</w:t>
      </w:r>
      <w:r>
        <w:t xml:space="preserve"> </w:t>
      </w:r>
      <w:r>
        <w:t xml:space="preserve">ranked history), followed across</w:t>
      </w:r>
      <w:r>
        <w:t xml:space="preserve"> </w:t>
      </w:r>
      <w:r>
        <w:rPr>
          <w:b/>
          <w:bCs/>
        </w:rPr>
        <w:t xml:space="preserve">one entire season</w:t>
      </w:r>
      <w:r>
        <w:t xml:space="preserve"> </w:t>
      </w:r>
      <w:r>
        <w:t xml:space="preserve">(21 January to November 2016) of default five-versus-five ranked Solo/Duo-queue</w:t>
      </w:r>
      <w:r>
        <w:t xml:space="preserve"> </w:t>
      </w:r>
      <w:r>
        <w:t xml:space="preserve">play. Because every account enters ranked play at the same default matchmaking</w:t>
      </w:r>
      <w:r>
        <w:t xml:space="preserve"> </w:t>
      </w:r>
      <w:r>
        <w:t xml:space="preserve">rating and is then observed continuously, the cohort offers an unusually clean</w:t>
      </w:r>
      <w:r>
        <w:t xml:space="preserve"> </w:t>
      </w:r>
      <w:r>
        <w:t xml:space="preserve">within-subject view of each player’s full activity and skill trajectory, the</w:t>
      </w:r>
      <w:r>
        <w:t xml:space="preserve"> </w:t>
      </w:r>
      <w:r>
        <w:t xml:space="preserve">property our within-player periodogram and ΔMMR analyses depend on. Each match row</w:t>
      </w:r>
      <w:r>
        <w:t xml:space="preserve"> </w:t>
      </w:r>
      <w:r>
        <w:t xml:space="preserve">carries the per-minute performance fields we reduce by PCA together with the</w:t>
      </w:r>
      <w:r>
        <w:t xml:space="preserve"> </w:t>
      </w:r>
      <w:r>
        <w:t xml:space="preserve">player’s pre-match rating, from which ΔMMR is derived. The same data lineage</w:t>
      </w:r>
      <w:r>
        <w:t xml:space="preserve"> </w:t>
      </w:r>
      <w:r>
        <w:t xml:space="preserve">underpins prior work on this cohort: early-season learning rate predicts</w:t>
      </w:r>
      <w:r>
        <w:t xml:space="preserve"> </w:t>
      </w:r>
      <w:r>
        <w:t xml:space="preserve">end-of-season skill</w:t>
      </w:r>
      <w:r>
        <w:t xml:space="preserve"> </w:t>
      </w:r>
      <w:r>
        <w:t xml:space="preserve">[10]</w:t>
      </w:r>
      <w:r>
        <w:t xml:space="preserve">, and the temporal</w:t>
      </w:r>
      <w:r>
        <w:t xml:space="preserve"> </w:t>
      </w:r>
      <w:r>
        <w:rPr>
          <w:i/>
          <w:iCs/>
        </w:rPr>
        <w:t xml:space="preserve">spacing</w:t>
      </w:r>
      <w:r>
        <w:t xml:space="preserve"> </w:t>
      </w:r>
      <w:r>
        <w:t xml:space="preserve">of practice</w:t>
      </w:r>
      <w:r>
        <w:t xml:space="preserve"> </w:t>
      </w:r>
      <w:r>
        <w:t xml:space="preserve">(rather than its timing) shapes performance gains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Riot Games supplied the raw match records as CSV files, which we loaded into a</w:t>
      </w:r>
      <w:r>
        <w:t xml:space="preserve"> </w:t>
      </w:r>
      <w:r>
        <w:t xml:space="preserve">columnar store and queried through an embedded DuckDB analytical database</w:t>
      </w:r>
      <w:r>
        <w:t xml:space="preserve"> </w:t>
      </w:r>
      <w:r>
        <w:t xml:space="preserve">[12]</w:t>
      </w:r>
      <w:r>
        <w:t xml:space="preserve">, from which we materialised an hourly aggregate table. The</w:t>
      </w:r>
      <w:r>
        <w:t xml:space="preserve"> </w:t>
      </w:r>
      <w:r>
        <w:t xml:space="preserve">specific on-disk format is incidental to the analysis. We analysed the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regional servers</w:t>
      </w:r>
      <w:r>
        <w:t xml:space="preserve"> </w:t>
      </w:r>
      <w:r>
        <w:t xml:space="preserve">used by the source-dataset papers</w:t>
      </w:r>
      <w:r>
        <w:t xml:space="preserve"> </w:t>
      </w:r>
      <w:r>
        <w:t xml:space="preserve">[10, 11]</w:t>
      </w:r>
      <w:r>
        <w:t xml:space="preserve">: BR1, EUN1, EUW1, JP1, LA1, LA2, NA1 and OC1, together</w:t>
      </w:r>
      <w:r>
        <w:t xml:space="preserve"> </w:t>
      </w:r>
      <w:r>
        <w:t xml:space="preserve">contributing ≈92.7 million ranked games; the remaining platforms (ID1, TR1 and</w:t>
      </w:r>
      <w:r>
        <w:t xml:space="preserve"> </w:t>
      </w:r>
      <w:r>
        <w:t xml:space="preserve">the PBE1 public-beta realm) were excluded as small or unreliable. For each server</w:t>
      </w:r>
      <w:r>
        <w:t xml:space="preserve"> </w:t>
      </w:r>
      <w:r>
        <w:t xml:space="preserve">we selected the</w:t>
      </w:r>
      <w:r>
        <w:t xml:space="preserve"> </w:t>
      </w:r>
      <w:r>
        <w:rPr>
          <w:rStyle w:val="VerbatimChar"/>
        </w:rPr>
        <w:t xml:space="preserve">top_n_players = 1000</w:t>
      </w:r>
      <w:r>
        <w:t xml:space="preserve"> </w:t>
      </w:r>
      <w:r>
        <w:t xml:space="preserve">most active accounts and retained the first</w:t>
      </w:r>
      <w:r>
        <w:t xml:space="preserve"> </w:t>
      </w:r>
      <w:r>
        <w:rPr>
          <w:rStyle w:val="VerbatimChar"/>
        </w:rPr>
        <w:t xml:space="preserve">max_hour_limit = 5000</w:t>
      </w:r>
      <w:r>
        <w:t xml:space="preserve"> </w:t>
      </w:r>
      <w:r>
        <w:t xml:space="preserve">hours (~208 days) of each player’s history to bound edge</w:t>
      </w:r>
      <w:r>
        <w:t xml:space="preserve"> </w:t>
      </w:r>
      <w:r>
        <w:t xml:space="preserve">effects. Each match timestamp was converted to the</w:t>
      </w:r>
      <w:r>
        <w:t xml:space="preserve"> </w:t>
      </w:r>
      <w:r>
        <w:t xml:space="preserve">server’s</w:t>
      </w:r>
      <w:r>
        <w:t xml:space="preserve"> </w:t>
      </w:r>
      <w:r>
        <w:rPr>
          <w:b/>
          <w:bCs/>
        </w:rPr>
        <w:t xml:space="preserve">local hour</w:t>
      </w:r>
      <w:r>
        <w:t xml:space="preserve"> </w:t>
      </w:r>
      <w:r>
        <w:t xml:space="preserve">using a fixed per-server UTC offset, so that</w:t>
      </w:r>
      <w:r>
        <w:t xml:space="preserve"> </w:t>
      </w:r>
      <w:r>
        <w:t xml:space="preserve">“9 a.m.”</w:t>
      </w:r>
      <w:r>
        <w:t xml:space="preserve"> </w:t>
      </w:r>
      <w:r>
        <w:t xml:space="preserve">means the same wall-clock experience on every server.</w:t>
      </w:r>
    </w:p>
    <w:p>
      <w:pPr>
        <w:pStyle w:val="BodyText"/>
      </w:pPr>
      <w:r>
        <w:t xml:space="preserve">To check that this conversion does what it claims, we counted the analysed</w:t>
      </w:r>
      <w:r>
        <w:t xml:space="preserve"> </w:t>
      </w:r>
      <w:r>
        <w:t xml:space="preserve">cohort’s games in each hour of the day, per server, in UTC and in local time</w:t>
      </w:r>
      <w:r>
        <w:t xml:space="preserve"> </w:t>
      </w:r>
      <w:r>
        <w:t xml:space="preserve">(9.55 million games). We summarised each server’s schedule by the circular mean</w:t>
      </w:r>
      <w:r>
        <w:t xml:space="preserve"> </w:t>
      </w:r>
      <w:r>
        <w:t xml:space="preserve">of its game-weighted play hour, measured the across-server circular standard</w:t>
      </w:r>
      <w:r>
        <w:t xml:space="preserve"> </w:t>
      </w:r>
      <w:r>
        <w:t xml:space="preserve">deviation of those means before and after the offset, and regressed each server’s</w:t>
      </w:r>
      <w:r>
        <w:t xml:space="preserve"> </w:t>
      </w:r>
      <w:r>
        <w:t xml:space="preserve">mean UTC play hour on its UTC offset. A common local schedule predicts a slope of</w:t>
      </w:r>
      <w:r>
        <w:t xml:space="preserve"> </w:t>
      </w:r>
      <w:r>
        <w:t xml:space="preserve">−1 and a collapse in the across-server spread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</w:t>
      </w:r>
    </w:p>
    <w:bookmarkEnd w:id="21"/>
    <w:bookmarkStart w:id="22" w:name="Xf2a82337575e9e34c893d2b0dab1b4d0aba148a"/>
    <w:p>
      <w:pPr>
        <w:pStyle w:val="Heading2"/>
      </w:pPr>
      <w:r>
        <w:t xml:space="preserve">2.2 Behavioural features and principal components</w:t>
      </w:r>
    </w:p>
    <w:p>
      <w:pPr>
        <w:pStyle w:val="FirstParagraph"/>
      </w:pPr>
      <w:r>
        <w:t xml:space="preserve">We derived seven rate features per game (gold, damage dealt, kills, deaths,</w:t>
      </w:r>
      <w:r>
        <w:t xml:space="preserve"> </w:t>
      </w:r>
      <w:r>
        <w:t xml:space="preserve">assists, neutral creeps and enemy creeps, each per minute), plus the fraction of</w:t>
      </w:r>
      <w:r>
        <w:t xml:space="preserve"> </w:t>
      </w:r>
      <w:r>
        <w:t xml:space="preserve">time spent dead. Population-level hourly features were standardised and reduced</w:t>
      </w:r>
      <w:r>
        <w:t xml:space="preserve"> </w:t>
      </w:r>
      <w:r>
        <w:t xml:space="preserve">by sign-oriented principal component analysis (SVD); per-game player records were</w:t>
      </w:r>
      <w:r>
        <w:t xml:space="preserve"> </w:t>
      </w:r>
      <w:r>
        <w:t xml:space="preserve">then projected onto this fixed basis so that every player is scored on a common</w:t>
      </w:r>
      <w:r>
        <w:t xml:space="preserve"> </w:t>
      </w:r>
      <w:r>
        <w:t xml:space="preserve">set of axes. The first two components dominate: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(≈62% of variance) loads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on all activity features, a</w:t>
      </w:r>
      <w:r>
        <w:t xml:space="preserve"> </w:t>
      </w:r>
      <w:r>
        <w:t xml:space="preserve">general</w:t>
      </w:r>
      <w:r>
        <w:t xml:space="preserve"> </w:t>
      </w:r>
      <w:r>
        <w:rPr>
          <w:b/>
          <w:bCs/>
        </w:rPr>
        <w:t xml:space="preserve">in-game output / engagement intensity</w:t>
      </w:r>
      <w:r>
        <w:t xml:space="preserve"> </w:t>
      </w:r>
      <w:r>
        <w:t xml:space="preserve">axis (high PC1 = a busy,</w:t>
      </w:r>
      <w:r>
        <w:t xml:space="preserve"> </w:t>
      </w:r>
      <w:r>
        <w:t xml:space="preserve">high-tempo game).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(≈19% of variance) contrasts farming/economy (creeps, gold) against</w:t>
      </w:r>
      <w:r>
        <w:t xml:space="preserve"> </w:t>
      </w:r>
      <w:r>
        <w:t xml:space="preserve">time spent dead, an</w:t>
      </w:r>
      <w:r>
        <w:t xml:space="preserve"> </w:t>
      </w:r>
      <w:r>
        <w:rPr>
          <w:b/>
          <w:bCs/>
        </w:rPr>
        <w:t xml:space="preserve">economy-versus-attrition</w:t>
      </w:r>
      <w:r>
        <w:t xml:space="preserve"> </w:t>
      </w:r>
      <w:r>
        <w:t xml:space="preserve">axis.</w:t>
      </w:r>
    </w:p>
    <w:p>
      <w:pPr>
        <w:pStyle w:val="FirstParagraph"/>
      </w:pPr>
      <w:r>
        <w:t xml:space="preserve">A complementary</w:t>
      </w:r>
      <w:r>
        <w:t xml:space="preserve"> </w:t>
      </w:r>
      <w:r>
        <w:t xml:space="preserve">“success-aware”</w:t>
      </w:r>
      <w:r>
        <w:t xml:space="preserve"> </w:t>
      </w:r>
      <w:r>
        <w:t xml:space="preserve">PCA that included win rate was computed for</w:t>
      </w:r>
      <w:r>
        <w:t xml:space="preserve"> </w:t>
      </w:r>
      <w:r>
        <w:t xml:space="preserve">descriptive comparison. As a direct skill-outcome metric we also computed</w:t>
      </w:r>
      <w:r>
        <w:t xml:space="preserve"> </w:t>
      </w:r>
      <w:r>
        <w:rPr>
          <w:b/>
          <w:bCs/>
        </w:rPr>
        <w:t xml:space="preserve">ΔMMR</w:t>
      </w:r>
      <w:r>
        <w:t xml:space="preserve">, the within-player change in matchmaking rating from one game to the</w:t>
      </w:r>
      <w:r>
        <w:t xml:space="preserve"> </w:t>
      </w:r>
      <w:r>
        <w:t xml:space="preserve">next.</w:t>
      </w:r>
    </w:p>
    <w:bookmarkEnd w:id="22"/>
    <w:bookmarkStart w:id="23" w:name="within-subject-periodograms"/>
    <w:p>
      <w:pPr>
        <w:pStyle w:val="Heading2"/>
      </w:pPr>
      <w:r>
        <w:t xml:space="preserve">2.3 Within-subject periodograms</w:t>
      </w:r>
    </w:p>
    <w:p>
      <w:pPr>
        <w:pStyle w:val="FirstParagraph"/>
      </w:pPr>
      <w:r>
        <w:t xml:space="preserve">For each player and each metric (PC1, PC2, ΔMMR) we placed the game-level scores</w:t>
      </w:r>
      <w:r>
        <w:t xml:space="preserve"> </w:t>
      </w:r>
      <w:r>
        <w:t xml:space="preserve">on their irregular real-time stamps and computed a Lomb–Scargle periodogram</w:t>
      </w:r>
      <w:r>
        <w:t xml:space="preserve"> </w:t>
      </w:r>
      <w:r>
        <w:t xml:space="preserve">[13, 14]</w:t>
      </w:r>
      <w:r>
        <w:t xml:space="preserve"> </w:t>
      </w:r>
      <w:r>
        <w:t xml:space="preserve">over periods of 6–48 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player_n_freq = 2000</w:t>
      </w:r>
      <w:r>
        <w:t xml:space="preserve"> </w:t>
      </w:r>
      <w:r>
        <w:t xml:space="preserve">frequencies) using</w:t>
      </w:r>
      <w:r>
        <w:t xml:space="preserve"> </w:t>
      </w:r>
      <w:r>
        <w:rPr>
          <w:rStyle w:val="VerbatimChar"/>
        </w:rPr>
        <w:t xml:space="preserve">astropy.timeseries.LombScargle</w:t>
      </w:r>
      <w:r>
        <w:t xml:space="preserve"> </w:t>
      </w:r>
      <w:r>
        <w:t xml:space="preserve">[15, 16]</w:t>
      </w:r>
      <w:r>
        <w:t xml:space="preserve">. The Lomb–Scargle estimator is</w:t>
      </w:r>
      <w:r>
        <w:t xml:space="preserve"> </w:t>
      </w:r>
      <w:r>
        <w:t xml:space="preserve">appropriate here because match times are unevenly spaced. The (evenly spaced)</w:t>
      </w:r>
      <w:r>
        <w:t xml:space="preserve"> </w:t>
      </w:r>
      <w:r>
        <w:t xml:space="preserve">frequency grid is</w:t>
      </w:r>
      <w:r>
        <w:t xml:space="preserve"> </w:t>
      </w:r>
      <w:r>
        <w:rPr>
          <w:b/>
          <w:bCs/>
        </w:rPr>
        <w:t xml:space="preserve">anchored so that exactly 24 h is a grid node</w:t>
      </w:r>
      <w:r>
        <w:t xml:space="preserve">, allowing a</w:t>
      </w:r>
      <w:r>
        <w:t xml:space="preserve"> </w:t>
      </w:r>
      <w:r>
        <w:t xml:space="preserve">true circadian peak to be reported at 24.0 h rather than snapping to a</w:t>
      </w:r>
      <w:r>
        <w:t xml:space="preserve"> </w:t>
      </w:r>
      <w:r>
        <w:t xml:space="preserve">neighbouring bin. Per-player periodograms were then</w:t>
      </w:r>
      <w:r>
        <w:t xml:space="preserve"> </w:t>
      </w:r>
      <w:r>
        <w:rPr>
          <w:b/>
          <w:bCs/>
        </w:rPr>
        <w:t xml:space="preserve">incoherently averaged</w:t>
      </w:r>
      <w:r>
        <w:t xml:space="preserve"> </w:t>
      </w:r>
      <w:r>
        <w:t xml:space="preserve">within each server–metric cell (averaging</w:t>
      </w:r>
      <w:r>
        <w:t xml:space="preserve"> </w:t>
      </w:r>
      <w:r>
        <w:rPr>
          <w:i/>
          <w:iCs/>
        </w:rPr>
        <w:t xml:space="preserve">power</w:t>
      </w:r>
      <w:r>
        <w:t xml:space="preserve">, which is phase-blind), and the</w:t>
      </w:r>
      <w:r>
        <w:t xml:space="preserve"> </w:t>
      </w:r>
      <w:r>
        <w:t xml:space="preserve">period of maximum mean power was recorded as that cell’s best period. A population-level periodogram of raw 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TIMEPLAYED</w:t>
      </w:r>
      <w:r>
        <w:t xml:space="preserve">) was computed analogously over 6–48 h.</w:t>
      </w:r>
    </w:p>
    <w:bookmarkEnd w:id="23"/>
    <w:bookmarkStart w:id="24" w:name="X3797de8fa61d133e130eb745a0ef062b230741c"/>
    <w:p>
      <w:pPr>
        <w:pStyle w:val="Heading2"/>
      </w:pPr>
      <w:r>
        <w:t xml:space="preserve">2.4 Phase estimation and multiple-testing control</w:t>
      </w:r>
    </w:p>
    <w:p>
      <w:pPr>
        <w:pStyle w:val="FirstParagraph"/>
      </w:pPr>
      <w:r>
        <w:t xml:space="preserve">To locate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day each player peaks, we fitted a fixed 24 h sinusoid by</w:t>
      </w:r>
      <w:r>
        <w:t xml:space="preserve"> </w:t>
      </w:r>
      <w:r>
        <w:t xml:space="preserve">ordinary least squares to each player’s series, converted the fitted lag to a</w:t>
      </w:r>
      <w:r>
        <w:t xml:space="preserve"> </w:t>
      </w:r>
      <w:r>
        <w:rPr>
          <w:b/>
          <w:bCs/>
        </w:rPr>
        <w:t xml:space="preserve">local peak hour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)</m:t>
        </m:r>
      </m:oMath>
      <w:r>
        <w:t xml:space="preserve">, and tested the joint significance of the</w:t>
      </w:r>
      <w:r>
        <w:t xml:space="preserve"> </w:t>
      </w:r>
      <w:r>
        <w:t xml:space="preserve">sinusoid. Across the players in each server–metric cell, the resulting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were corrected with the Benjamini–Hochberg false-discovery-rate procedure</w:t>
      </w:r>
      <w:r>
        <w:t xml:space="preserve"> </w:t>
      </w:r>
      <w:r>
        <w:t xml:space="preserve">[17]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Only FDR-significant peak phases</w:t>
      </w:r>
      <w:r>
        <w:t xml:space="preserve"> </w:t>
      </w:r>
      <w:r>
        <w:t xml:space="preserve">entered the modality analysis.</w:t>
      </w:r>
    </w:p>
    <w:bookmarkEnd w:id="24"/>
    <w:bookmarkStart w:id="25" w:name="X1081d97065c5028a55e2e145369efb0540db38e"/>
    <w:p>
      <w:pPr>
        <w:pStyle w:val="Heading2"/>
      </w:pPr>
      <w:r>
        <w:t xml:space="preserve">2.5 Circular modality: one versus two chronotypes</w:t>
      </w:r>
    </w:p>
    <w:p>
      <w:pPr>
        <w:pStyle w:val="FirstParagraph"/>
      </w:pPr>
      <w:r>
        <w:t xml:space="preserve">Peak hours are circular. For each server–metric cell with at least 20</w:t>
      </w:r>
      <w:r>
        <w:t xml:space="preserve"> </w:t>
      </w:r>
      <w:r>
        <w:t xml:space="preserve">FDR-significant phases we fitted two circular models to the phases (expressed as</w:t>
      </w:r>
      <w:r>
        <w:t xml:space="preserve"> </w:t>
      </w:r>
      <w:r>
        <w:t xml:space="preserve">angles)</w:t>
      </w:r>
      <w:r>
        <w:t xml:space="preserve"> </w:t>
      </w:r>
      <w:r>
        <w:t xml:space="preserve">[18–20]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one-component von Mises</w:t>
      </w:r>
      <w:r>
        <w:t xml:space="preserve"> </w:t>
      </w:r>
      <w:r>
        <w:t xml:space="preserve">distribution (mean direction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concentration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estimated from the resultant length);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two-component von Mises mixture</w:t>
      </w:r>
      <w:r>
        <w:t xml:space="preserve"> </w:t>
      </w:r>
      <w:r>
        <w:t xml:space="preserve">fitted by expectation–maximisation.</w:t>
      </w:r>
    </w:p>
    <w:p>
      <w:pPr>
        <w:pStyle w:val="FirstParagraph"/>
      </w:pPr>
      <w:r>
        <w:t xml:space="preserve">For each fit we report the fitted log likelihood and compare models by both the</w:t>
      </w:r>
      <w:r>
        <w:t xml:space="preserve"> </w:t>
      </w:r>
      <w:r>
        <w:t xml:space="preserve">Akaike Information Criterion (AIC)</w:t>
      </w:r>
      <w:r>
        <w:t xml:space="preserve"> </w:t>
      </w:r>
      <w:r>
        <w:t xml:space="preserve">[21]</w:t>
      </w:r>
      <w:r>
        <w:t xml:space="preserve"> </w:t>
      </w:r>
      <w:r>
        <w:t xml:space="preserve">and Bayesian Information</w:t>
      </w:r>
      <w:r>
        <w:t xml:space="preserve"> </w:t>
      </w:r>
      <w:r>
        <w:t xml:space="preserve">Criterion (BIC)</w:t>
      </w:r>
      <w:r>
        <w:t xml:space="preserve"> </w:t>
      </w:r>
      <w:r>
        <w:t xml:space="preserve">[22]</w:t>
      </w:r>
      <w:r>
        <w:t xml:space="preserve">, charging 2 free parameters to the</w:t>
      </w:r>
      <w:r>
        <w:t xml:space="preserve"> </w:t>
      </w:r>
      <w:r>
        <w:t xml:space="preserve">one-component fit and 5 to the mixture:</w:t>
      </w:r>
      <w:r>
        <w:t xml:space="preserve"> </w:t>
      </w:r>
      <m:oMath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.</w:t>
      </w:r>
      <w:r>
        <w:t xml:space="preserve"> </w:t>
      </w:r>
      <w:r>
        <w:t xml:space="preserve">Positive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favour two components.</w:t>
      </w:r>
    </w:p>
    <w:p>
      <w:pPr>
        <w:pStyle w:val="BodyText"/>
      </w:pPr>
      <w:r>
        <w:t xml:space="preserve">Because the usual chi-squared likelihood-ratio reference distribution is not</w:t>
      </w:r>
      <w:r>
        <w:t xml:space="preserve"> </w:t>
      </w:r>
      <w:r>
        <w:t xml:space="preserve">valid for finite-mixture comparisons, we assessed the final pooled likelihood</w:t>
      </w:r>
      <w:r>
        <w:t xml:space="preserve"> </w:t>
      </w:r>
      <w:r>
        <w:t xml:space="preserve">improvement with a parametric bootstrap. For each metric, we generated 1,000</w:t>
      </w:r>
      <w:r>
        <w:t xml:space="preserve"> </w:t>
      </w:r>
      <w:r>
        <w:t xml:space="preserve">datasets of the observed size from its fitted one-component model, refitted both</w:t>
      </w:r>
      <w:r>
        <w:t xml:space="preserve"> </w:t>
      </w:r>
      <w:r>
        <w:t xml:space="preserve">models, and compared the simulated likelihood-ratio statistics with the observed</w:t>
      </w:r>
      <w:r>
        <w:t xml:space="preserve"> </w:t>
      </w:r>
      <w:r>
        <w:t xml:space="preserve">statistic. We used the add-one correction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number of bootstrap statistics at least</w:t>
      </w:r>
      <w:r>
        <w:t xml:space="preserve"> </w:t>
      </w:r>
      <w:r>
        <w:t xml:space="preserve">as large as observed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We report both a per-server tally and a final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fit that aggregates</w:t>
      </w:r>
      <w:r>
        <w:t xml:space="preserve"> </w:t>
      </w:r>
      <w:r>
        <w:t xml:space="preserve">significant phases across servers (using only cells with ≥20 phases). As an</w:t>
      </w:r>
      <w:r>
        <w:t xml:space="preserve"> </w:t>
      </w:r>
      <w:r>
        <w:t xml:space="preserve">assumption-light companion, we also summarised the same phases with</w:t>
      </w:r>
      <w:r>
        <w:t xml:space="preserve"> </w:t>
      </w:r>
      <w:r>
        <w:t xml:space="preserve">phase-count-weighted circular kernel density estimates (</w:t>
      </w:r>
      <m:oMath>
        <m:r>
          <m:t>κ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bookmarkEnd w:id="25"/>
    <w:bookmarkStart w:id="26" w:name="Xf03b91a30e70e35cad150ddd5df0d0d95ca06b1"/>
    <w:p>
      <w:pPr>
        <w:pStyle w:val="Heading2"/>
      </w:pPr>
      <w:r>
        <w:t xml:space="preserve">2.6 Across-server meta-analysis and quality control</w:t>
      </w:r>
    </w:p>
    <w:p>
      <w:pPr>
        <w:pStyle w:val="FirstParagraph"/>
      </w:pPr>
      <w:r>
        <w:t xml:space="preserve">All headline numbers are</w:t>
      </w:r>
      <w:r>
        <w:t xml:space="preserve"> </w:t>
      </w:r>
      <w:r>
        <w:rPr>
          <w:b/>
          <w:bCs/>
        </w:rPr>
        <w:t xml:space="preserve">N-weighted across servers</w:t>
      </w:r>
      <w:r>
        <w:t xml:space="preserve">: period peaks are weighted</w:t>
      </w:r>
      <w:r>
        <w:t xml:space="preserve"> </w:t>
      </w:r>
      <w:r>
        <w:t xml:space="preserve">by the number of valid players, phase fractions by players analysed, and</w:t>
      </w:r>
      <w:r>
        <w:t xml:space="preserve"> </w:t>
      </w:r>
      <w:r>
        <w:t xml:space="preserve">population metrics by games played. Implementation used NumPy</w:t>
      </w:r>
      <w:r>
        <w:t xml:space="preserve"> </w:t>
      </w:r>
      <w:r>
        <w:t xml:space="preserve">[23]</w:t>
      </w:r>
      <w:r>
        <w:t xml:space="preserve">,</w:t>
      </w:r>
      <w:r>
        <w:t xml:space="preserve"> </w:t>
      </w:r>
      <w:r>
        <w:t xml:space="preserve">SciPy</w:t>
      </w:r>
      <w:r>
        <w:t xml:space="preserve"> </w:t>
      </w:r>
      <w:r>
        <w:t xml:space="preserve">[24]</w:t>
      </w:r>
      <w:r>
        <w:t xml:space="preserve">, pandas</w:t>
      </w:r>
      <w:r>
        <w:t xml:space="preserve"> </w:t>
      </w:r>
      <w:r>
        <w:t xml:space="preserve">[25]</w:t>
      </w:r>
      <w:r>
        <w:t xml:space="preserve"> </w:t>
      </w:r>
      <w:r>
        <w:t xml:space="preserve">and Matplotlib</w:t>
      </w:r>
      <w:r>
        <w:t xml:space="preserve"> </w:t>
      </w:r>
      <w:r>
        <w:t xml:space="preserve">[26]</w:t>
      </w:r>
      <w:r>
        <w:t xml:space="preserve">.</w:t>
      </w:r>
    </w:p>
    <w:bookmarkEnd w:id="26"/>
    <w:bookmarkStart w:id="30" w:name="computational-reproducibility"/>
    <w:p>
      <w:pPr>
        <w:pStyle w:val="Heading2"/>
      </w:pPr>
      <w:r>
        <w:t xml:space="preserve">2.7 Computational reproducibility</w:t>
      </w:r>
    </w:p>
    <w:p>
      <w:pPr>
        <w:pStyle w:val="FirstParagraph"/>
      </w:pPr>
      <w:r>
        <w:t xml:space="preserve">The full workflow is script-based and deterministic at the level of published</w:t>
      </w:r>
      <w:r>
        <w:t xml:space="preserve"> </w:t>
      </w:r>
      <w:r>
        <w:t xml:space="preserve">summary tables and figures. Server-level processing is run with</w:t>
      </w:r>
      <w:r>
        <w:t xml:space="preserve"> </w:t>
      </w:r>
      <w:r>
        <w:rPr>
          <w:rStyle w:val="VerbatimChar"/>
        </w:rPr>
        <w:t xml:space="preserve">riot_analysis.py</w:t>
      </w:r>
      <w:r>
        <w:t xml:space="preserve">, and cross-server synthesis and manuscript figures are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. Intermediate and final outputs are written to the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tree, and manuscript figures are generated from those tables rather</w:t>
      </w:r>
      <w:r>
        <w:t xml:space="preserve"> </w:t>
      </w:r>
      <w:r>
        <w:t xml:space="preserve">than from manual plotting steps. The repository includes the Quarto source for</w:t>
      </w:r>
      <w:r>
        <w:t xml:space="preserve"> </w:t>
      </w:r>
      <w:r>
        <w:t xml:space="preserve">the manuscript and rebuild commands so that text, statistics and figures can be</w:t>
      </w:r>
      <w:r>
        <w:t xml:space="preserve"> </w:t>
      </w:r>
      <w:r>
        <w:t xml:space="preserve">regenerated from the released derived data products.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Outlier handling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server-level period estimates (both from</w:t>
            </w:r>
            <w:r>
              <w:t xml:space="preserve"> </w:t>
            </w:r>
            <w:r>
              <w:rPr>
                <w:b/>
                <w:bCs/>
              </w:rPr>
              <w:t xml:space="preserve">JP1</w:t>
            </w:r>
            <w:r>
              <w:t xml:space="preserve">) were clear outliers and</w:t>
            </w:r>
            <w:r>
              <w:t xml:space="preserve"> </w:t>
            </w:r>
            <w:r>
              <w:t xml:space="preserve">were excluded from the period meta-analysis: its ΔMMR peak (44.4 h, an implausible</w:t>
            </w:r>
            <w:r>
              <w:t xml:space="preserve"> </w:t>
            </w:r>
            <w:r>
              <w:t xml:space="preserve">near-double of the circadian period) and its PC1 peak (8.0 h, a flip onto the</w:t>
            </w:r>
            <w:r>
              <w:t xml:space="preserve"> </w:t>
            </w:r>
            <w:r>
              <w:t xml:space="preserve">third harmonic of the daily cycle). Outliers were flagged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each metric by</w:t>
            </w:r>
            <w:r>
              <w:t xml:space="preserve"> </w:t>
            </w:r>
            <w:r>
              <w:t xml:space="preserve">a median/MAD modified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-score (|z| &gt; 3.5) combined with an absolute-deviation</w:t>
            </w:r>
            <w:r>
              <w:t xml:space="preserve"> </w:t>
            </w:r>
            <w:r>
              <w:t xml:space="preserve">gate (&gt; 3 h from the median); the gate keeps genuine near-circadian values (peaks</w:t>
            </w:r>
            <w:r>
              <w:t xml:space="preserve"> </w:t>
            </w:r>
            <w:r>
              <w:t xml:space="preserve">one or two grid bins either side of 24 h) while still catching harmonics and</w:t>
            </w:r>
            <w:r>
              <w:t xml:space="preserve"> </w:t>
            </w:r>
            <w:r>
              <w:t xml:space="preserve">long-period artifacts, and it also decides the case where the 24 h-anchored grid</w:t>
            </w:r>
            <w:r>
              <w:t xml:space="preserve"> </w:t>
            </w:r>
            <w:r>
              <w:t xml:space="preserve">collapses the MAD to zero by placing most servers on the same bin. After exclusion</w:t>
            </w:r>
            <w:r>
              <w:t xml:space="preserve"> </w:t>
            </w:r>
            <w:r>
              <w:t xml:space="preserve">PC1 and ΔMMR rest on 7 servers / 7,000 players each; PC2 retains all 8.</w:t>
            </w:r>
          </w:p>
          <w:p/>
        </w:tc>
      </w:tr>
    </w:tbl>
    <w:bookmarkEnd w:id="30"/>
    <w:bookmarkEnd w:id="31"/>
    <w:bookmarkStart w:id="63" w:name="results"/>
    <w:p>
      <w:pPr>
        <w:pStyle w:val="Heading1"/>
      </w:pPr>
      <w:r>
        <w:t xml:space="preserve">3. Results</w:t>
      </w:r>
    </w:p>
    <w:bookmarkStart w:id="36" w:name="sec-playvolume"/>
    <w:p>
      <w:pPr>
        <w:pStyle w:val="Heading2"/>
      </w:pPr>
      <w:r>
        <w:t xml:space="preserve">3.1 Play volume is set by local time, not UTC</w:t>
      </w:r>
    </w:p>
    <w:p>
      <w:pPr>
        <w:pStyle w:val="FirstParagraph"/>
      </w:pPr>
      <w:r>
        <w:t xml:space="preserve">The clearest daily signal in the data is how much people play, and local time</w:t>
      </w:r>
      <w:r>
        <w:t xml:space="preserve"> </w:t>
      </w:r>
      <w:r>
        <w:t xml:space="preserve">governs it. Each server spreads its games unevenly across the day, with a</w:t>
      </w:r>
      <w:r>
        <w:t xml:space="preserve"> </w:t>
      </w:r>
      <w:r>
        <w:t xml:space="preserve">deep trough in the small hours and a broad evening peak carrying 6–10% of that</w:t>
      </w:r>
      <w:r>
        <w:t xml:space="preserve"> </w:t>
      </w:r>
      <w:r>
        <w:t xml:space="preserve">server’s games in each hour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). Plotted against UTC, the eight</w:t>
      </w:r>
      <w:r>
        <w:t xml:space="preserve"> </w:t>
      </w:r>
      <w:r>
        <w:t xml:space="preserve">curves are displaced from one another in time-zone order, from OC1 (UTC+10) on</w:t>
      </w:r>
      <w:r>
        <w:t xml:space="preserve"> </w:t>
      </w:r>
      <w:r>
        <w:t xml:space="preserve">the left to LA1 (UTC−6) on the right. Applying the fixed per-server UTC offset</w:t>
      </w:r>
      <w:r>
        <w:t xml:space="preserve"> </w:t>
      </w:r>
      <w:r>
        <w:t xml:space="preserve">collapses them onto one evening-peaked schedule: the across-server circular</w:t>
      </w:r>
      <w:r>
        <w:t xml:space="preserve"> </w:t>
      </w:r>
      <w:r>
        <w:t xml:space="preserve">standard deviation of the mean play hour falls from</w:t>
      </w:r>
      <w:r>
        <w:t xml:space="preserve"> </w:t>
      </w:r>
      <w:r>
        <w:rPr>
          <w:b/>
          <w:bCs/>
        </w:rPr>
        <w:t xml:space="preserve">5.83 h in UTC to 1.12 h in</w:t>
      </w:r>
      <w:r>
        <w:rPr>
          <w:b/>
          <w:bCs/>
        </w:rPr>
        <w:t xml:space="preserve"> </w:t>
      </w:r>
      <w:r>
        <w:rPr>
          <w:b/>
          <w:bCs/>
        </w:rPr>
        <w:t xml:space="preserve">local time</w:t>
      </w:r>
      <w:r>
        <w:t xml:space="preserve">, and the pooled local mean play hour is 19.1 h.</w:t>
      </w:r>
    </w:p>
    <w:p>
      <w:pPr>
        <w:pStyle w:val="BodyText"/>
      </w:pPr>
      <w:r>
        <w:t xml:space="preserve">The displacement is the time zone and nothing else. Regressing each server’s mean</w:t>
      </w:r>
      <w:r>
        <w:t xml:space="preserve"> </w:t>
      </w:r>
      <w:r>
        <w:t xml:space="preserve">UTC play hour on its UTC offset gives a slope of</w:t>
      </w:r>
      <w:r>
        <w:t xml:space="preserve"> </w:t>
      </w:r>
      <w:r>
        <w:rPr>
          <w:b/>
          <w:bCs/>
        </w:rPr>
        <w:t xml:space="preserve">−0.92</w:t>
      </w:r>
      <w:r>
        <w:t xml:space="preserve"> </w:t>
      </w:r>
      <w:r>
        <w:t xml:space="preserve">(r = −0.98), against</w:t>
      </w:r>
      <w:r>
        <w:t xml:space="preserve"> </w:t>
      </w:r>
      <w:r>
        <w:t xml:space="preserve">the −1 predicted if every server keeps the same local schedule. Two features of</w:t>
      </w:r>
      <w:r>
        <w:t xml:space="preserve"> </w:t>
      </w:r>
      <w:r>
        <w:t xml:space="preserve">the exposure schedule are operational rather than behavioural: JP1 records almost</w:t>
      </w:r>
      <w:r>
        <w:t xml:space="preserve"> </w:t>
      </w:r>
      <w:r>
        <w:t xml:space="preserve">no play between 05:00 and 11:00 local, and LA1 and LA2 each lose a single hour,</w:t>
      </w:r>
      <w:r>
        <w:t xml:space="preserve"> </w:t>
      </w:r>
      <w:r>
        <w:t xml:space="preserve">at 03:00–04:00 and 06:00–07:00 local respectively, which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hour</w:t>
      </w:r>
      <w:r>
        <w:t xml:space="preserve"> </w:t>
      </w:r>
      <w:r>
        <w:t xml:space="preserve">(09:00–10:00) in UTC. Fixed-UTC gaps are daily server maintenance, not sleep.</w:t>
      </w:r>
      <w:r>
        <w:t xml:space="preserve"> </w:t>
      </w:r>
      <w:r>
        <w:t xml:space="preserve">JP1’s seven-hour gap is what pulls the slope away from −1; excluding JP1 the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−0.99</w:t>
      </w:r>
      <w:r>
        <w:t xml:space="preserve"> </w:t>
      </w:r>
      <w:r>
        <w:t xml:space="preserve">(r = −0.98) and the local-time standard deviation falls to</w:t>
      </w:r>
      <w:r>
        <w:t xml:space="preserve"> </w:t>
      </w:r>
      <w:r>
        <w:t xml:space="preserve">0.94 h.</w:t>
      </w:r>
    </w:p>
    <w:p>
      <w:pPr>
        <w:pStyle w:val="BodyText"/>
      </w:pPr>
      <w:r>
        <w:t xml:space="preserve">Local hour is therefore the meaningful axis for everything that follows, and the</w:t>
      </w:r>
      <w:r>
        <w:t xml:space="preserve"> </w:t>
      </w:r>
      <w:r>
        <w:t xml:space="preserve">rhythms reported below cannot be inherited from pooling servers in the wrong time</w:t>
      </w:r>
      <w:r>
        <w:t xml:space="preserve"> </w:t>
      </w:r>
      <w:r>
        <w:t xml:space="preserve">frame. The residual across-server spread of 1.12 h bounds how much of any</w:t>
      </w:r>
      <w:r>
        <w:t xml:space="preserve"> </w:t>
      </w:r>
      <w:r>
        <w:t xml:space="preserve">phase structure a time-zone error could manufacture, which is far smaller than</w:t>
      </w:r>
      <w:r>
        <w:t xml:space="preserve"> </w:t>
      </w:r>
      <w:r>
        <w:t xml:space="preserve">the ~14 h separating the two behavioural modes reported in</w:t>
      </w:r>
      <w:r>
        <w:t xml:space="preserve"> </w:t>
      </w:r>
      <w:hyperlink w:anchor="sec-bimodality">
        <w:r>
          <w:rPr>
            <w:rStyle w:val="Hyperlink"/>
          </w:rPr>
          <w:t xml:space="preserve">Section 3.4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playvolume"/>
          <w:p>
            <w:pPr>
              <w:pStyle w:val="Compact"/>
              <w:jc w:val="center"/>
            </w:pPr>
            <w:r>
              <w:drawing>
                <wp:inline>
                  <wp:extent cx="5334000" cy="158866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lay_volume_timezon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8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Play volume by hour of day on the eight servers (9.55 million games from the 8,000 analysed players).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Share of each server’s games falling in each UTC hour; servers are coloured by UTC offset (light = west, dark = east) and the curves are displaced in time-zone order.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The same curves against local hour, after the fixed per-server UTC offset, collapsing onto a common evening-peaked schedule.</w:t>
            </w:r>
            <w:r>
              <w:t xml:space="preserve"> </w:t>
            </w: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Each server’s mean UTC play hour against its UTC offset; the fitted slope (−0.92) sits close to the −1 expected if all servers keep the same local schedule (solid line, drawn through the pooled local mean of 19.1 h). JP1’s flat interval at 05:00–11:00 local, and the single missing hour on LA1 and LA2 (both 09:00–10:00 UTC), are daily server-maintenance windows rather than behaviour.</w:t>
            </w:r>
          </w:p>
          <w:bookmarkEnd w:id="35"/>
        </w:tc>
      </w:tr>
    </w:tbl>
    <w:bookmarkEnd w:id="36"/>
    <w:bookmarkStart w:id="42" w:name="sec-periods"/>
    <w:p>
      <w:pPr>
        <w:pStyle w:val="Heading2"/>
      </w:pPr>
      <w:r>
        <w:t xml:space="preserve">3.2 Behaviour is rhythmic; success is not</w:t>
      </w:r>
    </w:p>
    <w:p>
      <w:pPr>
        <w:pStyle w:val="FirstParagraph"/>
      </w:pPr>
      <w:r>
        <w:t xml:space="preserve">Within-subject periodograms show a sharp circadian peak for behaviour and only</w:t>
      </w:r>
      <w:r>
        <w:t xml:space="preserve"> </w:t>
      </w:r>
      <w:r>
        <w:t xml:space="preserve">noise for outcome. For a single representative server (NA1), PC1 and PC2 each</w:t>
      </w:r>
      <w:r>
        <w:t xml:space="preserve"> </w:t>
      </w:r>
      <w:r>
        <w:t xml:space="preserve">produce a clean spike at ~24 h above a flat background, whereas ΔMMR yields a</w:t>
      </w:r>
      <w:r>
        <w:t xml:space="preserve"> </w:t>
      </w:r>
      <w:r>
        <w:t xml:space="preserve">broad, low, ragged spectrum with no dominant period (</w:t>
      </w:r>
      <w:hyperlink w:anchor="fig-periodogram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iodograms"/>
          <w:p>
            <w:pPr>
              <w:pStyle w:val="Compact"/>
              <w:jc w:val="center"/>
            </w:pPr>
            <w:r>
              <w:drawing>
                <wp:inline>
                  <wp:extent cx="5334000" cy="1425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../results/NA1/within_subject_periodogram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Incoherently averaged within-subject Lomb–Scargle periodograms for one server (NA1, 1,000 players). PC1 (left, peak 24.08 h) and PC2 (centre, 23.92 h) show sharp circadian spikes above a flat background; ΔMMR (right) is a weak, noisy spectrum with peak power roughly an order of magnitude smaller, its nominal 24.00 h peak barely rising above the noise.</w:t>
            </w:r>
          </w:p>
          <w:bookmarkEnd w:id="40"/>
        </w:tc>
      </w:tr>
    </w:tbl>
    <w:p>
      <w:pPr>
        <w:pStyle w:val="BodyText"/>
      </w:pPr>
      <w:r>
        <w:t xml:space="preserve">This pattern is consistent across all servers. The N-weighted best period is</w:t>
      </w:r>
      <w:r>
        <w:t xml:space="preserve"> </w:t>
      </w:r>
      <w:r>
        <w:rPr>
          <w:b/>
          <w:bCs/>
        </w:rPr>
        <w:t xml:space="preserve">23.96 h for PC1</w:t>
      </w:r>
      <w:r>
        <w:t xml:space="preserve"> </w:t>
      </w:r>
      <w:r>
        <w:t xml:space="preserve">(SEM 0.029) and</w:t>
      </w:r>
      <w:r>
        <w:t xml:space="preserve"> </w:t>
      </w:r>
      <w:r>
        <w:rPr>
          <w:b/>
          <w:bCs/>
        </w:rPr>
        <w:t xml:space="preserve">23.94 h for PC2</w:t>
      </w:r>
      <w:r>
        <w:t xml:space="preserve"> </w:t>
      </w:r>
      <w:r>
        <w:t xml:space="preserve">(SEM 0.020), both</w:t>
      </w:r>
      <w:r>
        <w:t xml:space="preserve"> </w:t>
      </w:r>
      <w:r>
        <w:t xml:space="preserve">indistinguishable from 24 h, with small between-server scatter; the ΔMMR peak</w:t>
      </w:r>
      <w:r>
        <w:t xml:space="preserve"> </w:t>
      </w:r>
      <w:r>
        <w:t xml:space="preserve">averages</w:t>
      </w:r>
      <w:r>
        <w:t xml:space="preserve"> </w:t>
      </w:r>
      <w:r>
        <w:rPr>
          <w:b/>
          <w:bCs/>
        </w:rPr>
        <w:t xml:space="preserve">exactly 24.00 h</w:t>
      </w:r>
      <w:r>
        <w:t xml:space="preserve"> </w:t>
      </w:r>
      <w:r>
        <w:t xml:space="preserve">(after removing the JP1 outlier) but rests on a far</w:t>
      </w:r>
      <w:r>
        <w:t xml:space="preserve"> </w:t>
      </w:r>
      <w:r>
        <w:t xml:space="preserve">weaker peak (</w:t>
      </w:r>
      <w:hyperlink w:anchor="tbl-period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peri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N-weighted within-subject best periods.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Players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Best period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SEM (h)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The fraction of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FDR-significant players tells the same story:</w:t>
      </w:r>
      <w:r>
        <w:t xml:space="preserve"> </w:t>
      </w:r>
      <w:r>
        <w:rPr>
          <w:b/>
          <w:bCs/>
        </w:rPr>
        <w:t xml:space="preserve">21.4%</w:t>
      </w:r>
      <w:r>
        <w:t xml:space="preserve"> </w:t>
      </w:r>
      <w:r>
        <w:t xml:space="preserve">of players have a significant ~24 h rhythm in</w:t>
      </w:r>
      <w:r>
        <w:t xml:space="preserve"> </w:t>
      </w:r>
      <w:r>
        <w:t xml:space="preserve">PC1 and</w:t>
      </w:r>
      <w:r>
        <w:t xml:space="preserve"> </w:t>
      </w:r>
      <w:r>
        <w:rPr>
          <w:b/>
          <w:bCs/>
        </w:rPr>
        <w:t xml:space="preserve">18.5%</w:t>
      </w:r>
      <w:r>
        <w:t xml:space="preserve"> </w:t>
      </w:r>
      <w:r>
        <w:t xml:space="preserve">in PC2, but only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do in ΔMMR (26 of 8,000 players).</w:t>
      </w:r>
      <w:r>
        <w:t xml:space="preserve"> </w:t>
      </w:r>
      <w:r>
        <w:t xml:space="preserve">Behaviour is strongly clock-locked;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competition is essentially</w:t>
      </w:r>
      <w:r>
        <w:t xml:space="preserve"> </w:t>
      </w:r>
      <w:r>
        <w:t xml:space="preserve">clock-agnostic.</w:t>
      </w:r>
    </w:p>
    <w:p>
      <w:pPr>
        <w:pStyle w:val="BodyText"/>
      </w:pPr>
      <w:r>
        <w:t xml:space="preserve">For reference, the population-level periodogram of raw activity (</w:t>
      </w:r>
      <w:r>
        <w:rPr>
          <w:rStyle w:val="VerbatimChar"/>
        </w:rPr>
        <w:t xml:space="preserve">TIMEPLAYED</w:t>
      </w:r>
      <w:r>
        <w:t xml:space="preserve">)</w:t>
      </w:r>
      <w:r>
        <w:t xml:space="preserve"> </w:t>
      </w:r>
      <w:r>
        <w:t xml:space="preserve">behaves as expected: with the 24 h-anchored grid it peaks at</w:t>
      </w:r>
      <w:r>
        <w:t xml:space="preserve"> </w:t>
      </w:r>
      <w:r>
        <w:rPr>
          <w:b/>
          <w:bCs/>
        </w:rPr>
        <w:t xml:space="preserve">exactly 24.0 h on</w:t>
      </w:r>
      <w:r>
        <w:rPr>
          <w:b/>
          <w:bCs/>
        </w:rPr>
        <w:t xml:space="preserve"> </w:t>
      </w:r>
      <w:r>
        <w:rPr>
          <w:b/>
          <w:bCs/>
        </w:rPr>
        <w:t xml:space="preserve">every one of the eight servers</w:t>
      </w:r>
      <w:r>
        <w:t xml:space="preserve">.</w:t>
      </w:r>
    </w:p>
    <w:bookmarkEnd w:id="42"/>
    <w:bookmarkStart w:id="52" w:name="sec-pca"/>
    <w:p>
      <w:pPr>
        <w:pStyle w:val="Heading2"/>
      </w:pPr>
      <w:r>
        <w:t xml:space="preserve">3.3 What the components mean</w:t>
      </w:r>
    </w:p>
    <w:p>
      <w:pPr>
        <w:pStyle w:val="FirstParagraph"/>
      </w:pPr>
      <w:r>
        <w:t xml:space="preserve">The N-weighted PCA loadings (</w:t>
      </w:r>
      <w:hyperlink w:anchor="fig-pca">
        <w:r>
          <w:rPr>
            <w:rStyle w:val="Hyperlink"/>
          </w:rPr>
          <w:t xml:space="preserve">Figure 3</w:t>
        </w:r>
      </w:hyperlink>
      <w:r>
        <w:t xml:space="preserve">) confirm this reading: PC1 loads positively</w:t>
      </w:r>
      <w:r>
        <w:t xml:space="preserve"> </w:t>
      </w:r>
      <w:r>
        <w:t xml:space="preserve">on every activity feature (an overall output/engagement axis), while PC2</w:t>
      </w:r>
      <w:r>
        <w:t xml:space="preserve"> </w:t>
      </w:r>
      <w:r>
        <w:t xml:space="preserve">separates farming and economy from time spent dead. The success-aware</w:t>
      </w:r>
      <w:r>
        <w:t xml:space="preserve"> </w:t>
      </w:r>
      <w:r>
        <w:t xml:space="preserve">decomposition (lower panel) places only a modest positive win-rate loading on its</w:t>
      </w:r>
      <w:r>
        <w:t xml:space="preserve"> </w:t>
      </w:r>
      <w:r>
        <w:t xml:space="preserve">leading component (N-weighted 0.29), reinforcing that the dominant behavioural</w:t>
      </w:r>
      <w:r>
        <w:t xml:space="preserve"> </w:t>
      </w:r>
      <w:r>
        <w:t xml:space="preserve">axes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game is played rather than whether it is won.</w:t>
      </w:r>
    </w:p>
    <w:bookmarkStart w:id="51" w:name="fig-pc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6" w:name="fig-pca-per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performance_pca_loadings.png" id="4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Performance PCA: PC1 is an all-positive output/engagement axis (~62% variance); PC2 contrasts economy against time-dead (~19%).</w:t>
                  </w:r>
                </w:p>
                <w:bookmarkEnd w:id="46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50" w:name="fig-pca-success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results/GRAND/grand_success_aware_pca_loadings.png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Success-aware PCA (win rate included): win rate loads only modestly on the leading components.</w:t>
                  </w:r>
                </w:p>
                <w:bookmarkEnd w:id="5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N-weighted PCA loadings across servers; whiskers show between-server spread.</w:t>
      </w:r>
    </w:p>
    <w:bookmarkEnd w:id="51"/>
    <w:bookmarkEnd w:id="52"/>
    <w:bookmarkStart w:id="62" w:name="sec-bimodality"/>
    <w:p>
      <w:pPr>
        <w:pStyle w:val="Heading2"/>
      </w:pPr>
      <w:r>
        <w:t xml:space="preserve">3.4 Two chronotypes: the peak-phase distribution is bimodal</w:t>
      </w:r>
    </w:p>
    <w:p>
      <w:pPr>
        <w:pStyle w:val="FirstParagraph"/>
      </w:pPr>
      <w:r>
        <w:t xml:space="preserve">The central question is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peak-time distribution. Pooling all</w:t>
      </w:r>
      <w:r>
        <w:t xml:space="preserve"> </w:t>
      </w:r>
      <w:r>
        <w:t xml:space="preserve">FDR-significant phases and comparing circular models,</w:t>
      </w:r>
      <w:r>
        <w:t xml:space="preserve"> </w:t>
      </w:r>
      <w:r>
        <w:rPr>
          <w:b/>
          <w:bCs/>
        </w:rPr>
        <w:t xml:space="preserve">both behavioural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 prefer a two-component von Mises mixture</w:t>
      </w:r>
      <w:r>
        <w:t xml:space="preserve"> </w:t>
      </w:r>
      <w:r>
        <w:t xml:space="preserve">(</w:t>
      </w:r>
      <w:hyperlink w:anchor="fig-bimodality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hyperlink w:anchor="tbl-bimodality">
        <w:r>
          <w:rPr>
            <w:rStyle w:val="Hyperlink"/>
          </w:rPr>
          <w:t xml:space="preserve">Table 2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PC1</w:t>
      </w:r>
      <w:r>
        <w:t xml:space="preserve">: the two-component fit improved the log likelihood from −3,112.0 to</w:t>
      </w:r>
      <w:r>
        <w:t xml:space="preserve"> </w:t>
      </w:r>
      <w:r>
        <w:t xml:space="preserve">−3,092.2 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33.6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17.2</m:t>
        </m:r>
      </m:oMath>
      <w:r>
        <w:t xml:space="preserve">;</w:t>
      </w:r>
      <w:r>
        <w:t xml:space="preserve"> </w:t>
      </w:r>
      <w:r>
        <w:t xml:space="preserve">likelihood ratio = 39.6). None of 1,000 one-component-null bootstrap samples</w:t>
      </w:r>
      <w:r>
        <w:t xml:space="preserve"> </w:t>
      </w:r>
      <w:r>
        <w:t xml:space="preserve">matched this improvement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 Its peaks were</w:t>
      </w:r>
      <w:r>
        <w:t xml:space="preserve"> </w:t>
      </w:r>
      <w:r>
        <w:rPr>
          <w:b/>
          <w:bCs/>
        </w:rPr>
        <w:t xml:space="preserve">21.5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7.1 h</w:t>
      </w:r>
      <w:r>
        <w:t xml:space="preserve"> </w:t>
      </w:r>
      <w:r>
        <w:t xml:space="preserve">(weights 0.57 / 0.43): an evening-peaking</w:t>
      </w:r>
      <w:r>
        <w:t xml:space="preserve"> </w:t>
      </w:r>
      <w:r>
        <w:t xml:space="preserve">“owl”</w:t>
      </w:r>
      <w:r>
        <w:t xml:space="preserve"> </w:t>
      </w:r>
      <w:r>
        <w:t xml:space="preserve">cluster and a morning-peaking</w:t>
      </w:r>
      <w:r>
        <w:t xml:space="preserve"> </w:t>
      </w:r>
      <w:r>
        <w:t xml:space="preserve">“lark”</w:t>
      </w:r>
      <w:r>
        <w:t xml:space="preserve"> </w:t>
      </w:r>
      <w:r>
        <w:t xml:space="preserve">cluster of nearly equal size.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PC2</w:t>
      </w:r>
      <w:r>
        <w:t xml:space="preserve">: the log likelihood improved from −2,675.8 to −2,650.7</w:t>
      </w:r>
      <w:r>
        <w:t xml:space="preserve"> </w:t>
      </w:r>
      <w:r>
        <w:t xml:space="preserve">(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44.3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28.4</m:t>
        </m:r>
      </m:oMath>
      <w:r>
        <w:t xml:space="preserve">; likelihood ratio =</w:t>
      </w:r>
      <w:r>
        <w:t xml:space="preserve"> </w:t>
      </w:r>
      <w:r>
        <w:t xml:space="preserve">50.3), again with zero of 1,000 null-bootstrap exceedances (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).</w:t>
      </w:r>
      <w:r>
        <w:t xml:space="preserve"> </w:t>
      </w:r>
      <w:r>
        <w:t xml:space="preserve">Its peaks were</w:t>
      </w:r>
      <w:r>
        <w:t xml:space="preserve"> </w:t>
      </w:r>
      <w:r>
        <w:rPr>
          <w:b/>
          <w:bCs/>
        </w:rPr>
        <w:t xml:space="preserve">9.4 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19.9 h</w:t>
      </w:r>
      <w:r>
        <w:t xml:space="preserve"> </w:t>
      </w:r>
      <w:r>
        <w:t xml:space="preserve">(weights 0.65 / 0.35): again a</w:t>
      </w:r>
      <w:r>
        <w:t xml:space="preserve"> </w:t>
      </w:r>
      <w:r>
        <w:t xml:space="preserve">morning and an evening mode.</w:t>
      </w:r>
    </w:p>
    <w:p>
      <w:pPr>
        <w:pStyle w:val="FirstParagraph"/>
      </w:pPr>
      <w:r>
        <w:t xml:space="preserve">ΔMMR could not be tested for modality at all: no server reached the 20-significant-phase</w:t>
      </w:r>
      <w:r>
        <w:t xml:space="preserve"> </w:t>
      </w:r>
      <w:r>
        <w:t xml:space="preserve">threshold, so the pooled ΔMMR cell is empty.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bimod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Pooled circular bimodality test on FDR-significant peak phases. The bootstrap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-values use the add-one correction; zero of 1,000 null replicates exceeded</w:t>
            </w:r>
            <w:r>
              <w:t xml:space="preserve"> </w:t>
            </w:r>
            <w:r>
              <w:t xml:space="preserve">either observed likelihood-ratio statistic.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Phases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Bootstrap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−3,112.0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−3,092.2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6,227.9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6,194.3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6,238.8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6,221.6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−2,675.8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−2,650.7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5,355.7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5,311.4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5,366.2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5,337.8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n/a</w:t>
                  </w:r>
                </w:p>
              </w:tc>
            </w:tr>
          </w:tbl>
          <w:bookmarkEnd w:id="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bimodality"/>
          <w:p>
            <w:pPr>
              <w:pStyle w:val="Compact"/>
              <w:jc w:val="center"/>
            </w:pPr>
            <w:r>
              <w:drawing>
                <wp:inline>
                  <wp:extent cx="5334000" cy="437751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ooled_circular_bimodality_fit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7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Pooled circular bimodality fits. For PC1 (top) and PC2 (bottom): histograms of FDR-significant local peak hours with the one-component fit (dashed) and two-component mixture (solid; dotted components), shown in both hour-domain (left) and polar (right) views. Both metrics show two clear modes (a morning and an evening cluster), and the mixture is preferred by BIC and AIC, with parametric-bootstrap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  <w:r>
              <w:t xml:space="preserve">.</w:t>
            </w:r>
          </w:p>
          <w:bookmarkEnd w:id="57"/>
        </w:tc>
      </w:tr>
    </w:tbl>
    <w:p>
      <w:pPr>
        <w:pStyle w:val="BodyText"/>
      </w:pPr>
      <w:r>
        <w:t xml:space="preserve">The per-server tally is consistent: across servers, FDR-significant PC1 phases</w:t>
      </w:r>
      <w:r>
        <w:t xml:space="preserve"> </w:t>
      </w:r>
      <w:r>
        <w:t xml:space="preserve">split 816 (one-component-preferred) to 897 (two-component-preferred) and PC2 704</w:t>
      </w:r>
      <w:r>
        <w:t xml:space="preserve"> </w:t>
      </w:r>
      <w:r>
        <w:t xml:space="preserve">to 761: a majority of server-level phases independently favour the</w:t>
      </w:r>
      <w:r>
        <w:t xml:space="preserve"> </w:t>
      </w:r>
      <w:r>
        <w:t xml:space="preserve">two-cluster description, which is what produces a decisive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preference</w:t>
      </w:r>
      <w:r>
        <w:t xml:space="preserve"> </w:t>
      </w:r>
      <w:r>
        <w:t xml:space="preserve">once power is aggregated.</w:t>
      </w:r>
    </w:p>
    <w:p>
      <w:pPr>
        <w:pStyle w:val="BodyText"/>
      </w:pPr>
      <w:r>
        <w:t xml:space="preserve">An assumption-light kernel-density view (</w:t>
      </w:r>
      <w:hyperlink w:anchor="fig-density">
        <w:r>
          <w:rPr>
            <w:rStyle w:val="Hyperlink"/>
          </w:rPr>
          <w:t xml:space="preserve">Figure 5</w:t>
        </w:r>
      </w:hyperlink>
      <w:r>
        <w:t xml:space="preserve">) reproduces the same</w:t>
      </w:r>
      <w:r>
        <w:t xml:space="preserve"> </w:t>
      </w:r>
      <w:r>
        <w:t xml:space="preserve">landscape: the phase-count-weighted circular density of PC1 peaks concentrates</w:t>
      </w:r>
      <w:r>
        <w:t xml:space="preserve"> </w:t>
      </w:r>
      <w:r>
        <w:t xml:space="preserve">around the late evening (weighted peak 22.4 h) while PC2 peaks in the morning</w:t>
      </w:r>
      <w:r>
        <w:t xml:space="preserve"> </w:t>
      </w:r>
      <w:r>
        <w:t xml:space="preserve">(9.8 h), each with a secondary lobe, the smooth-density counterpart of the</w:t>
      </w:r>
      <w:r>
        <w:t xml:space="preserve"> </w:t>
      </w:r>
      <w:r>
        <w:t xml:space="preserve">two-component fits.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ensity"/>
          <w:p>
            <w:pPr>
              <w:pStyle w:val="Compact"/>
              <w:jc w:val="center"/>
            </w:pPr>
            <w:r>
              <w:drawing>
                <wp:inline>
                  <wp:extent cx="5334000" cy="446159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../results/GRAND/grand_pc_peak_density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1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Phase-count-weighted circular kernel density of FDR-significant peak hours (κ = 4), with 95% across-server bands. The bimodal structure seen in the von Mises fits is reproduced without assuming a parametric mixture.</w:t>
            </w:r>
          </w:p>
          <w:bookmarkEnd w:id="61"/>
        </w:tc>
      </w:tr>
    </w:tbl>
    <w:bookmarkEnd w:id="62"/>
    <w:bookmarkEnd w:id="63"/>
    <w:bookmarkStart w:id="66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Three findings stand out. First,</w:t>
      </w:r>
      <w:r>
        <w:t xml:space="preserve"> </w:t>
      </w:r>
      <w:r>
        <w:rPr>
          <w:b/>
          <w:bCs/>
        </w:rPr>
        <w:t xml:space="preserve">circadian rhythms are real and strong in LoL</w:t>
      </w:r>
      <w:r>
        <w:rPr>
          <w:b/>
          <w:bCs/>
        </w:rPr>
        <w:t xml:space="preserve"> </w:t>
      </w:r>
      <w:r>
        <w:rPr>
          <w:b/>
          <w:bCs/>
        </w:rPr>
        <w:t xml:space="preserve">play behaviour</w:t>
      </w:r>
      <w:r>
        <w:t xml:space="preserve">: within-subject periodograms peak crisply at 24 h for both</w:t>
      </w:r>
      <w:r>
        <w:t xml:space="preserve"> </w:t>
      </w:r>
      <w:r>
        <w:t xml:space="preserve">behavioural principal components, the estimate is stable to three significant</w:t>
      </w:r>
      <w:r>
        <w:t xml:space="preserve"> </w:t>
      </w:r>
      <w:r>
        <w:t xml:space="preserve">figures across 8 independent servers, and more than one in five players carries an</w:t>
      </w:r>
      <w:r>
        <w:t xml:space="preserve"> </w:t>
      </w:r>
      <w:r>
        <w:t xml:space="preserve">individually significant daily rhythm. This large naturalistic analysis complements</w:t>
      </w:r>
      <w:r>
        <w:t xml:space="preserve"> </w:t>
      </w:r>
      <w:r>
        <w:t xml:space="preserve">educational</w:t>
      </w:r>
      <w:r>
        <w:t xml:space="preserve"> </w:t>
      </w:r>
      <w:r>
        <w:t xml:space="preserve">[6]</w:t>
      </w:r>
      <w:r>
        <w:t xml:space="preserve"> </w:t>
      </w:r>
      <w:r>
        <w:t xml:space="preserve">and athletic</w:t>
      </w:r>
      <w:r>
        <w:t xml:space="preserve"> </w:t>
      </w:r>
      <w:r>
        <w:t xml:space="preserve">[7]</w:t>
      </w:r>
      <w:r>
        <w:t xml:space="preserve"> </w:t>
      </w:r>
      <w:r>
        <w:t xml:space="preserve">big-data work.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the population of peak times is bimodal</w:t>
      </w:r>
      <w:r>
        <w:t xml:space="preserve">. Both PC1 and PC2 prefer a</w:t>
      </w:r>
      <w:r>
        <w:t xml:space="preserve"> </w:t>
      </w:r>
      <w:r>
        <w:t xml:space="preserve">two-component von Mises mixture, recovering a morning cluster and an evening</w:t>
      </w:r>
      <w:r>
        <w:t xml:space="preserve"> </w:t>
      </w:r>
      <w:r>
        <w:t xml:space="preserve">cluster in each case. This pattern is consistent with the lark/owl framing in</w:t>
      </w:r>
      <w:r>
        <w:t xml:space="preserve"> </w:t>
      </w:r>
      <w:r>
        <w:t xml:space="preserve">chronotype research</w:t>
      </w:r>
      <w:r>
        <w:t xml:space="preserve"> </w:t>
      </w:r>
      <w:r>
        <w:t xml:space="preserve">[3, 4]</w:t>
      </w:r>
      <w:r>
        <w:t xml:space="preserve">, and the</w:t>
      </w:r>
      <w:r>
        <w:t xml:space="preserve"> </w:t>
      </w:r>
      <w:r>
        <w:t xml:space="preserve">result survives a stringent pipeline (per-player FDR control, concordant BIC and</w:t>
      </w:r>
      <w:r>
        <w:t xml:space="preserve"> </w:t>
      </w:r>
      <w:r>
        <w:t xml:space="preserve">AIC penalties against the more complex model, a parametric-bootstrap</w:t>
      </w:r>
      <w:r>
        <w:t xml:space="preserve"> </w:t>
      </w:r>
      <w:r>
        <w:t xml:space="preserve">likelihood-ratio check, and an outlier-screened meta-analysis) and a</w:t>
      </w:r>
      <w:r>
        <w:t xml:space="preserve"> </w:t>
      </w:r>
      <w:r>
        <w:t xml:space="preserve">non-parametric density cross-check. We are careful about the label: what we</w:t>
      </w:r>
      <w:r>
        <w:t xml:space="preserve"> </w:t>
      </w:r>
      <w:r>
        <w:t xml:space="preserve">measure is a</w:t>
      </w:r>
      <w:r>
        <w:t xml:space="preserve"> </w:t>
      </w:r>
      <w:r>
        <w:rPr>
          <w:i/>
          <w:iCs/>
        </w:rPr>
        <w:t xml:space="preserve">behavioural</w:t>
      </w:r>
      <w:r>
        <w:t xml:space="preserve"> </w:t>
      </w:r>
      <w:r>
        <w:t xml:space="preserve">phase: the hour at which a player’s in-game output</w:t>
      </w:r>
      <w:r>
        <w:t xml:space="preserve"> </w:t>
      </w:r>
      <w:r>
        <w:t xml:space="preserve">peaks, which is not the physiological dim-light melatonin onset. Behavioural phase is</w:t>
      </w:r>
      <w:r>
        <w:t xml:space="preserve"> </w:t>
      </w:r>
      <w:r>
        <w:t xml:space="preserve">shaped by chronotype but also by school, work and social schedules. The bimodality</w:t>
      </w:r>
      <w:r>
        <w:t xml:space="preserve"> </w:t>
      </w:r>
      <w:r>
        <w:t xml:space="preserve">is genuine; whether each mode maps one-to-one onto a biological chronotype is a</w:t>
      </w:r>
      <w:r>
        <w:t xml:space="preserve"> </w:t>
      </w:r>
      <w:r>
        <w:t xml:space="preserve">question of interpretation that our data cannot settle.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competitive success is essentially time-invariant</w:t>
      </w:r>
      <w:r>
        <w:t xml:space="preserve">. ΔMMR shows no</w:t>
      </w:r>
      <w:r>
        <w:t xml:space="preserve"> </w:t>
      </w:r>
      <w:r>
        <w:t xml:space="preserve">within-subject circadian rhythm (0.3% FDR-significant; no server testable for</w:t>
      </w:r>
      <w:r>
        <w:t xml:space="preserve"> </w:t>
      </w:r>
      <w:r>
        <w:t xml:space="preserve">modality), even though the very same players, on the very same games, show clear</w:t>
      </w:r>
      <w:r>
        <w:t xml:space="preserve"> </w:t>
      </w:r>
      <w:r>
        <w:t xml:space="preserve">rhythms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play. The matchmaking system is designed to hold win rate</w:t>
      </w:r>
      <w:r>
        <w:t xml:space="preserve"> </w:t>
      </w:r>
      <w:r>
        <w:t xml:space="preserve">near 50% by pairing players of similar skill, which mechanically suppresses any</w:t>
      </w:r>
      <w:r>
        <w:t xml:space="preserve"> </w:t>
      </w:r>
      <w:r>
        <w:t xml:space="preserve">outcome rhythm; and because both teams in a match share the same server clock, a</w:t>
      </w:r>
      <w:r>
        <w:t xml:space="preserve"> </w:t>
      </w:r>
      <w:r>
        <w:t xml:space="preserve">pure time-of-day effect cancels within every game and cannot move the result.</w:t>
      </w:r>
      <w:r>
        <w:t xml:space="preserve"> </w:t>
      </w:r>
      <w:r>
        <w:t xml:space="preserve">The two timescales behave differently: on this very cohort,</w:t>
      </w:r>
      <w:r>
        <w:t xml:space="preserve"> </w:t>
      </w:r>
      <w:r>
        <w:rPr>
          <w:i/>
          <w:iCs/>
        </w:rPr>
        <w:t xml:space="preserve">across</w:t>
      </w:r>
      <w:r>
        <w:t xml:space="preserve">-season</w:t>
      </w:r>
      <w:r>
        <w:t xml:space="preserve"> </w:t>
      </w:r>
      <w:r>
        <w:t xml:space="preserve">skill change is highly structured and predictable (early-season learning rate</w:t>
      </w:r>
      <w:r>
        <w:t xml:space="preserve"> </w:t>
      </w:r>
      <w:r>
        <w:t xml:space="preserve">forecasts end-of-season rating</w:t>
      </w:r>
      <w:r>
        <w:t xml:space="preserve"> </w:t>
      </w:r>
      <w:r>
        <w:t xml:space="preserve">[10]</w:t>
      </w:r>
      <w:r>
        <w:t xml:space="preserve">), yet the</w:t>
      </w:r>
      <w:r>
        <w:t xml:space="preserve"> </w:t>
      </w:r>
      <w:r>
        <w:rPr>
          <w:i/>
          <w:iCs/>
        </w:rPr>
        <w:t xml:space="preserve">within</w:t>
      </w:r>
      <w:r>
        <w:t xml:space="preserve">-day timing</w:t>
      </w:r>
      <w:r>
        <w:t xml:space="preserve"> </w:t>
      </w:r>
      <w:r>
        <w:t xml:space="preserve">of skill change leaves no detectable circadian mark. Prior analyses of</w:t>
      </w:r>
      <w:r>
        <w:t xml:space="preserve"> </w:t>
      </w:r>
      <w:r>
        <w:t xml:space="preserve">this same dataset deliberately set MMR aside as a match-to-match performance</w:t>
      </w:r>
      <w:r>
        <w:t xml:space="preserve"> </w:t>
      </w:r>
      <w:r>
        <w:t xml:space="preserve">measure, precisely because it is governed by the (opaque, win/loss-weighted)</w:t>
      </w:r>
      <w:r>
        <w:t xml:space="preserve"> </w:t>
      </w:r>
      <w:r>
        <w:t xml:space="preserve">matchmaking algorithm rather than by momentary individual play</w:t>
      </w:r>
      <w:r>
        <w:t xml:space="preserve"> </w:t>
      </w:r>
      <w:r>
        <w:t xml:space="preserve">[11]</w:t>
      </w:r>
      <w:r>
        <w:t xml:space="preserve">;</w:t>
      </w:r>
      <w:r>
        <w:t xml:space="preserve"> </w:t>
      </w:r>
      <w:r>
        <w:t xml:space="preserve">our null is the chronobiological counterpart of that caution. For a competitive</w:t>
      </w:r>
      <w:r>
        <w:t xml:space="preserve"> </w:t>
      </w:r>
      <w:r>
        <w:t xml:space="preserve">player the practical implication is twofold: playing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varies with the time</w:t>
      </w:r>
      <w:r>
        <w:t xml:space="preserve"> </w:t>
      </w:r>
      <w:r>
        <w:t xml:space="preserve">of day, but the matchmaking ladder largely cancels its effect on measured skill.</w:t>
      </w:r>
    </w:p>
    <w:bookmarkStart w:id="64" w:name="limitations"/>
    <w:p>
      <w:pPr>
        <w:pStyle w:val="Heading2"/>
      </w:pPr>
      <w:r>
        <w:t xml:space="preserve">4.1 Limitations</w:t>
      </w:r>
    </w:p>
    <w:p>
      <w:pPr>
        <w:pStyle w:val="FirstParagraph"/>
      </w:pPr>
      <w:r>
        <w:t xml:space="preserve">This is an observational analysis of a self-selected, highly active, high-ranked</w:t>
      </w:r>
      <w:r>
        <w:t xml:space="preserve"> </w:t>
      </w:r>
      <w:r>
        <w:t xml:space="preserve">population (top ~1,000 per server), so the chronotype mixture we recover need not</w:t>
      </w:r>
      <w:r>
        <w:t xml:space="preserve"> </w:t>
      </w:r>
      <w:r>
        <w:t xml:space="preserve">match the general public. Phases are inferred from a fitted 24 h sinusoid on</w:t>
      </w:r>
      <w:r>
        <w:t xml:space="preserve"> </w:t>
      </w:r>
      <w:r>
        <w:t xml:space="preserve">irregular match times rather than from continuous physiological recording. Local</w:t>
      </w:r>
      <w:r>
        <w:t xml:space="preserve"> </w:t>
      </w:r>
      <w:r>
        <w:t xml:space="preserve">hour uses a single per-server UTC offset and does not model daylight-saving</w:t>
      </w:r>
      <w:r>
        <w:t xml:space="preserve"> </w:t>
      </w:r>
      <w:r>
        <w:t xml:space="preserve">transitions or the within-region spread of true time zones; the residual</w:t>
      </w:r>
      <w:r>
        <w:t xml:space="preserve"> </w:t>
      </w:r>
      <w:r>
        <w:t xml:space="preserve">across-server spread this leaves is 1.12 h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 Daily maintenance</w:t>
      </w:r>
      <w:r>
        <w:t xml:space="preserve"> </w:t>
      </w:r>
      <w:r>
        <w:t xml:space="preserve">windows remove a few hours of exposure from JP1, LA1 and LA2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which censors those hours rather than sampling them. The two-component von</w:t>
      </w:r>
      <w:r>
        <w:t xml:space="preserve"> </w:t>
      </w:r>
      <w:r>
        <w:t xml:space="preserve">Mises model is the simplest test for bimodality and does not exclude richer</w:t>
      </w:r>
      <w:r>
        <w:t xml:space="preserve"> </w:t>
      </w:r>
      <w:r>
        <w:t xml:space="preserve">multi-modal or continuous structure. The parametric bootstrap tests how often an</w:t>
      </w:r>
      <w:r>
        <w:t xml:space="preserve"> </w:t>
      </w:r>
      <w:r>
        <w:t xml:space="preserve">improvement this large arises from a fitted one-component von Mises model,</w:t>
      </w:r>
      <w:r>
        <w:t xml:space="preserve"> </w:t>
      </w:r>
      <w:r>
        <w:t xml:space="preserve">conditional on the retained pooled phases; it does not repeat the upstream phase</w:t>
      </w:r>
      <w:r>
        <w:t xml:space="preserve"> </w:t>
      </w:r>
      <w:r>
        <w:t xml:space="preserve">estimation and FDR-selection pipeline or model dependence within servers.</w:t>
      </w:r>
      <w:r>
        <w:t xml:space="preserve"> </w:t>
      </w:r>
      <w:r>
        <w:t xml:space="preserve">Finally, the headline meta-analysis weights servers by N; alternative weightings</w:t>
      </w:r>
      <w:r>
        <w:t xml:space="preserve"> </w:t>
      </w:r>
      <w:r>
        <w:t xml:space="preserve">(e.g. equal-server) give qualitatively the</w:t>
      </w:r>
      <w:r>
        <w:t xml:space="preserve"> </w:t>
      </w:r>
      <w:r>
        <w:t xml:space="preserve">same conclusions but slightly different point estimates.</w:t>
      </w:r>
    </w:p>
    <w:bookmarkEnd w:id="64"/>
    <w:bookmarkStart w:id="65" w:name="conclusion"/>
    <w:p>
      <w:pPr>
        <w:pStyle w:val="Heading2"/>
      </w:pPr>
      <w:r>
        <w:t xml:space="preserve">4.2 Conclusion</w:t>
      </w:r>
    </w:p>
    <w:p>
      <w:pPr>
        <w:pStyle w:val="FirstParagraph"/>
      </w:pPr>
      <w:r>
        <w:t xml:space="preserve">Across 8 global servers and ~8,000 players,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behaviour is</w:t>
      </w:r>
      <w:r>
        <w:t xml:space="preserve"> </w:t>
      </w:r>
      <w:r>
        <w:t xml:space="preserve">circadian and the distribution of personal peak times is bimodal (a</w:t>
      </w:r>
      <w:r>
        <w:t xml:space="preserve"> </w:t>
      </w:r>
      <w:r>
        <w:t xml:space="preserve">data-driven echo of larks and owls), while competitive outcome is not. Match</w:t>
      </w:r>
      <w:r>
        <w:t xml:space="preserve"> </w:t>
      </w:r>
      <w:r>
        <w:t xml:space="preserve">telemetry from a popular game provides a quantitative window into</w:t>
      </w:r>
      <w:r>
        <w:t xml:space="preserve"> </w:t>
      </w:r>
      <w:r>
        <w:t xml:space="preserve">human chronobiology, and the analysis pipeline here (within-subject</w:t>
      </w:r>
      <w:r>
        <w:t xml:space="preserve"> </w:t>
      </w:r>
      <w:r>
        <w:t xml:space="preserve">Lomb–Scargle, FDR-controlled phase estimation, information-criterion-compared</w:t>
      </w:r>
      <w:r>
        <w:t xml:space="preserve"> </w:t>
      </w:r>
      <w:r>
        <w:t xml:space="preserve">circular mixtures, and parametric-bootstrap model checking, meta-analysed across</w:t>
      </w:r>
      <w:r>
        <w:t xml:space="preserve"> </w:t>
      </w:r>
      <w:r>
        <w:t xml:space="preserve">servers) is a reusable template for similar questions in other large behavioural</w:t>
      </w:r>
      <w:r>
        <w:t xml:space="preserve"> </w:t>
      </w:r>
      <w:r>
        <w:t xml:space="preserve">datasets.</w:t>
      </w:r>
    </w:p>
    <w:bookmarkEnd w:id="65"/>
    <w:bookmarkEnd w:id="66"/>
    <w:bookmarkStart w:id="77" w:name="declarations"/>
    <w:p>
      <w:pPr>
        <w:pStyle w:val="Heading1"/>
      </w:pPr>
      <w:r>
        <w:t xml:space="preserve">Declarations</w:t>
      </w:r>
    </w:p>
    <w:bookmarkStart w:id="67" w:name="Xd182db0490b2de20bd2b4e4cc8698599182035f"/>
    <w:p>
      <w:pPr>
        <w:pStyle w:val="Heading2"/>
      </w:pPr>
      <w:r>
        <w:t xml:space="preserve">4.3 Ethics approval and consent to participate</w:t>
      </w:r>
    </w:p>
    <w:p>
      <w:pPr>
        <w:pStyle w:val="FirstParagraph"/>
      </w:pPr>
      <w:r>
        <w:t xml:space="preserve">Not applicable. This study used secondary analysis of de-identified gameplay</w:t>
      </w:r>
      <w:r>
        <w:t xml:space="preserve"> </w:t>
      </w:r>
      <w:r>
        <w:t xml:space="preserve">telemetry supplied under prior data-sharing agreements and did not involve</w:t>
      </w:r>
      <w:r>
        <w:t xml:space="preserve"> </w:t>
      </w:r>
      <w:r>
        <w:t xml:space="preserve">direct interaction with human participants.</w:t>
      </w:r>
    </w:p>
    <w:bookmarkEnd w:id="67"/>
    <w:bookmarkStart w:id="68" w:name="consent-for-publication"/>
    <w:p>
      <w:pPr>
        <w:pStyle w:val="Heading2"/>
      </w:pPr>
      <w:r>
        <w:t xml:space="preserve">4.4 Consent for publication</w:t>
      </w:r>
    </w:p>
    <w:p>
      <w:pPr>
        <w:pStyle w:val="FirstParagraph"/>
      </w:pPr>
      <w:r>
        <w:t xml:space="preserve">Not applicable.</w:t>
      </w:r>
    </w:p>
    <w:bookmarkEnd w:id="68"/>
    <w:bookmarkStart w:id="70" w:name="availability-of-data-and-materials"/>
    <w:p>
      <w:pPr>
        <w:pStyle w:val="Heading2"/>
      </w:pPr>
      <w:r>
        <w:t xml:space="preserve">4.5 Availability of data and materials</w:t>
      </w:r>
    </w:p>
    <w:p>
      <w:pPr>
        <w:pStyle w:val="FirstParagraph"/>
      </w:pPr>
      <w:r>
        <w:t xml:space="preserve">The analysis code (</w:t>
      </w:r>
      <w:r>
        <w:rPr>
          <w:rStyle w:val="VerbatimChar"/>
        </w:rPr>
        <w:t xml:space="preserve">riot_analysis.py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) and the de-identified</w:t>
      </w:r>
      <w:r>
        <w:t xml:space="preserve"> </w:t>
      </w:r>
      <w:r>
        <w:t xml:space="preserve">derived outputs that underlie every figure and statistic in this paper (the</w:t>
      </w:r>
      <w:r>
        <w:t xml:space="preserve"> </w:t>
      </w:r>
      <w:r>
        <w:t xml:space="preserve">per-server and grand summary tables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 are openly available at</w:t>
      </w:r>
      <w:r>
        <w:t xml:space="preserve"> </w:t>
      </w:r>
      <w:hyperlink r:id="rId69">
        <w:r>
          <w:rPr>
            <w:rStyle w:val="Hyperlink"/>
          </w:rPr>
          <w:t xml:space="preserve">https://github.com/wadelab/MSc2026_LoL_Release</w:t>
        </w:r>
      </w:hyperlink>
      <w:r>
        <w:t xml:space="preserve">.</w:t>
      </w:r>
      <w:r>
        <w:t xml:space="preserve"> </w:t>
      </w:r>
      <w:r>
        <w:t xml:space="preserve">The shared outputs carry no player account</w:t>
      </w:r>
      <w:r>
        <w:t xml:space="preserve"> </w:t>
      </w:r>
      <w:r>
        <w:t xml:space="preserve">identifiers or raw matchmaking ratings: the per-account selection lists are</w:t>
      </w:r>
      <w:r>
        <w:t xml:space="preserve"> </w:t>
      </w:r>
      <w:r>
        <w:t xml:space="preserve">withheld, and only de-identified aggregates are released. The raw match records are</w:t>
      </w:r>
      <w:r>
        <w:t xml:space="preserve"> </w:t>
      </w:r>
      <w:r>
        <w:t xml:space="preserve">proprietary to Riot Games and</w:t>
      </w:r>
      <w:r>
        <w:t xml:space="preserve"> </w:t>
      </w:r>
      <w:r>
        <w:t xml:space="preserve">restrictions apply to their availability: they were used for the current study under</w:t>
      </w:r>
      <w:r>
        <w:t xml:space="preserve"> </w:t>
      </w:r>
      <w:r>
        <w:t xml:space="preserve">the terms governing the longitudinal research cohort of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, and so are not publicly</w:t>
      </w:r>
      <w:r>
        <w:t xml:space="preserve"> </w:t>
      </w:r>
      <w:r>
        <w:t xml:space="preserve">available. We do not redistribute them, and the pipeline rebuilds a local DuckDB</w:t>
      </w:r>
      <w:r>
        <w:t xml:space="preserve"> </w:t>
      </w:r>
      <w:r>
        <w:t xml:space="preserve">cache from the converted store on demand.</w:t>
      </w:r>
    </w:p>
    <w:bookmarkEnd w:id="70"/>
    <w:bookmarkStart w:id="71" w:name="reproducibility-and-code-availability"/>
    <w:p>
      <w:pPr>
        <w:pStyle w:val="Heading2"/>
      </w:pPr>
      <w:r>
        <w:t xml:space="preserve">4.6 Reproducibility and code availability</w:t>
      </w:r>
    </w:p>
    <w:p>
      <w:pPr>
        <w:pStyle w:val="FirstParagraph"/>
      </w:pPr>
      <w:r>
        <w:t xml:space="preserve">The repository contains script-level analysis entry points, generated result</w:t>
      </w:r>
      <w:r>
        <w:t xml:space="preserve"> </w:t>
      </w:r>
      <w:r>
        <w:t xml:space="preserve">tables, and manuscript source. A full manuscript rebuild (HTML/PDF/DOCX) is 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quarto render paper/journal_variants/lol_circadian_rhythms_gigascience.qmd</w:t>
      </w:r>
      <w:r>
        <w:t xml:space="preserve">.</w:t>
      </w:r>
      <w:r>
        <w:t xml:space="preserve"> </w:t>
      </w:r>
      <w:r>
        <w:t xml:space="preserve">Core analysis artifacts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map directly onto reported statistics,</w:t>
      </w:r>
      <w:r>
        <w:t xml:space="preserve"> </w:t>
      </w:r>
      <w:r>
        <w:t xml:space="preserve">tables and figure panels.</w:t>
      </w:r>
    </w:p>
    <w:bookmarkEnd w:id="71"/>
    <w:bookmarkStart w:id="72" w:name="competing-interests"/>
    <w:p>
      <w:pPr>
        <w:pStyle w:val="Heading2"/>
      </w:pPr>
      <w:r>
        <w:t xml:space="preserve">4.7 Competing interests</w:t>
      </w:r>
    </w:p>
    <w:p>
      <w:pPr>
        <w:pStyle w:val="FirstParagraph"/>
      </w:pPr>
      <w:r>
        <w:t xml:space="preserve">The author declares that they have no competing interests.</w:t>
      </w:r>
    </w:p>
    <w:bookmarkEnd w:id="72"/>
    <w:bookmarkStart w:id="73" w:name="funding"/>
    <w:p>
      <w:pPr>
        <w:pStyle w:val="Heading2"/>
      </w:pPr>
      <w:r>
        <w:t xml:space="preserve">4.8 Funding</w:t>
      </w:r>
    </w:p>
    <w:p>
      <w:pPr>
        <w:pStyle w:val="FirstParagraph"/>
      </w:pPr>
      <w:r>
        <w:t xml:space="preserve">No specific funding was received for this work.</w:t>
      </w:r>
    </w:p>
    <w:bookmarkEnd w:id="73"/>
    <w:bookmarkStart w:id="74" w:name="abbreviations"/>
    <w:p>
      <w:pPr>
        <w:pStyle w:val="Heading2"/>
      </w:pPr>
      <w:r>
        <w:t xml:space="preserve">4.9 Abbreviations</w:t>
      </w:r>
    </w:p>
    <w:p>
      <w:pPr>
        <w:pStyle w:val="FirstParagraph"/>
      </w:pPr>
      <w:r>
        <w:t xml:space="preserve">LoL: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; MMR: matchmaking rating; FDR: false discovery rate;</w:t>
      </w:r>
      <w:r>
        <w:t xml:space="preserve"> </w:t>
      </w:r>
      <w:r>
        <w:t xml:space="preserve">AIC: Akaike Information Criterion; BIC: Bayesian Information Criterion.</w:t>
      </w:r>
    </w:p>
    <w:bookmarkEnd w:id="74"/>
    <w:bookmarkStart w:id="75" w:name="authors-contributions"/>
    <w:p>
      <w:pPr>
        <w:pStyle w:val="Heading2"/>
      </w:pPr>
      <w:r>
        <w:t xml:space="preserve">4.10 Authors’ contributions</w:t>
      </w:r>
    </w:p>
    <w:p>
      <w:pPr>
        <w:pStyle w:val="FirstParagraph"/>
      </w:pPr>
      <w:r>
        <w:t xml:space="preserve">A.R.W. designed the study, performed the analysis, and wrote the manuscript. The</w:t>
      </w:r>
      <w:r>
        <w:t xml:space="preserve"> </w:t>
      </w:r>
      <w:r>
        <w:t xml:space="preserve">author read and approved the final manuscript.</w:t>
      </w:r>
    </w:p>
    <w:bookmarkEnd w:id="75"/>
    <w:bookmarkStart w:id="76" w:name="acknowledgements"/>
    <w:p>
      <w:pPr>
        <w:pStyle w:val="Heading2"/>
      </w:pPr>
      <w:r>
        <w:t xml:space="preserve">4.11 Acknowledgements</w:t>
      </w:r>
    </w:p>
    <w:p>
      <w:pPr>
        <w:pStyle w:val="FirstParagraph"/>
      </w:pPr>
      <w:r>
        <w:t xml:space="preserve">The author thanks Riot Games for the generous donation of the match data that made</w:t>
      </w:r>
      <w:r>
        <w:t xml:space="preserve"> </w:t>
      </w:r>
      <w:r>
        <w:t xml:space="preserve">this study possible.</w:t>
      </w:r>
    </w:p>
    <w:bookmarkEnd w:id="76"/>
    <w:bookmarkEnd w:id="77"/>
    <w:bookmarkStart w:id="130" w:name="references"/>
    <w:p>
      <w:pPr>
        <w:pStyle w:val="Heading1"/>
      </w:pPr>
      <w:r>
        <w:t xml:space="preserve">References</w:t>
      </w:r>
    </w:p>
    <w:bookmarkStart w:id="129" w:name="refs"/>
    <w:bookmarkStart w:id="79" w:name="ref-roenneberg2007epidemiology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Roenneberg T, Kuehnle T, Juda M, et al (2007) Epidemiology of the human circadian clock. Sleep Medicine Reviews 11:429–438.</w:t>
      </w:r>
      <w:r>
        <w:t xml:space="preserve"> </w:t>
      </w:r>
      <w:hyperlink r:id="rId78">
        <w:r>
          <w:rPr>
            <w:rStyle w:val="Hyperlink"/>
          </w:rPr>
          <w:t xml:space="preserve">https://doi.org/10.1016/j.smrv.2007.07.005</w:t>
        </w:r>
      </w:hyperlink>
    </w:p>
    <w:bookmarkEnd w:id="79"/>
    <w:bookmarkStart w:id="81" w:name="ref-schmidt2007t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Schmidt C, Collette F, Cajochen C, Peigneux P (2007) A time to think: Circadian rhythms in human cognition. Cognitive Neuropsychology 24:755–789.</w:t>
      </w:r>
      <w:r>
        <w:t xml:space="preserve"> </w:t>
      </w:r>
      <w:hyperlink r:id="rId80">
        <w:r>
          <w:rPr>
            <w:rStyle w:val="Hyperlink"/>
          </w:rPr>
          <w:t xml:space="preserve">https://doi.org/10.1080/02643290701754158</w:t>
        </w:r>
      </w:hyperlink>
    </w:p>
    <w:bookmarkEnd w:id="81"/>
    <w:bookmarkStart w:id="82" w:name="ref-horne1976self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Horne JA, Östberg O (1976) A self-assessment questionnaire to determine morningness-eveningness in human circadian rhythms. International Journal of Chronobiology 4:97–110</w:t>
      </w:r>
    </w:p>
    <w:bookmarkEnd w:id="82"/>
    <w:bookmarkStart w:id="84" w:name="ref-roenneberg2003lif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Roenneberg T, Wirz-Justice A, Merrow M (2003) Life between clocks: Daily temporal patterns of human chronotypes. Journal of Biological Rhythms 18:80–90.</w:t>
      </w:r>
      <w:r>
        <w:t xml:space="preserve"> </w:t>
      </w:r>
      <w:hyperlink r:id="rId83">
        <w:r>
          <w:rPr>
            <w:rStyle w:val="Hyperlink"/>
          </w:rPr>
          <w:t xml:space="preserve">https://doi.org/10.1177/0748730402239679</w:t>
        </w:r>
      </w:hyperlink>
    </w:p>
    <w:bookmarkEnd w:id="84"/>
    <w:bookmarkStart w:id="86" w:name="ref-adan2012circadi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Adan A, Archer SN, Hidalgo MP, et al (2012) Circadian typology: A comprehensive review. Chronobiology International 29:1153–1175.</w:t>
      </w:r>
      <w:r>
        <w:t xml:space="preserve"> </w:t>
      </w:r>
      <w:hyperlink r:id="rId85">
        <w:r>
          <w:rPr>
            <w:rStyle w:val="Hyperlink"/>
          </w:rPr>
          <w:t xml:space="preserve">https://doi.org/10.3109/07420528.2012.719971</w:t>
        </w:r>
      </w:hyperlink>
    </w:p>
    <w:bookmarkEnd w:id="86"/>
    <w:bookmarkStart w:id="88" w:name="ref-smarr2018socia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Smarr BL, Schirmer AE (2018) 3.4 million real-world learning management system logins reveal the majority of students experience social jet lag correlated with decreased performance. Scientific Reports 8:4793.</w:t>
      </w:r>
      <w:r>
        <w:t xml:space="preserve"> </w:t>
      </w:r>
      <w:hyperlink r:id="rId87">
        <w:r>
          <w:rPr>
            <w:rStyle w:val="Hyperlink"/>
          </w:rPr>
          <w:t xml:space="preserve">https://doi.org/10.1038/s41598-018-23044-8</w:t>
        </w:r>
      </w:hyperlink>
    </w:p>
    <w:bookmarkEnd w:id="88"/>
    <w:bookmarkStart w:id="90" w:name="ref-facerchilds2015impac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Facer-Childs E, Brandstaetter R (2015) The impact of circadian phenotype and time since awakening on diurnal performance in athletes. Current Biology 25:518–522.</w:t>
      </w:r>
      <w:r>
        <w:t xml:space="preserve"> </w:t>
      </w:r>
      <w:hyperlink r:id="rId89">
        <w:r>
          <w:rPr>
            <w:rStyle w:val="Hyperlink"/>
          </w:rPr>
          <w:t xml:space="preserve">https://doi.org/10.1016/j.cub.2014.12.036</w:t>
        </w:r>
      </w:hyperlink>
    </w:p>
    <w:bookmarkEnd w:id="90"/>
    <w:bookmarkStart w:id="92" w:name="ref-hsu2024circadi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Hsu T-W, Yen J-Y, Yeh W-C, Ko C-H (2024) Circadian typology and physical activity in young adults with gaming disorder. Medicina 60:1950.</w:t>
      </w:r>
      <w:r>
        <w:t xml:space="preserve"> </w:t>
      </w:r>
      <w:hyperlink r:id="rId91">
        <w:r>
          <w:rPr>
            <w:rStyle w:val="Hyperlink"/>
          </w:rPr>
          <w:t xml:space="preserve">https://doi.org/10.3390/medicina60121950</w:t>
        </w:r>
      </w:hyperlink>
    </w:p>
    <w:bookmarkEnd w:id="92"/>
    <w:bookmarkStart w:id="94" w:name="ref-nagorsky2020structure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Nagorsky E, Wiemeyer J (2020) The structure of performance and training in esports. PLOS ONE 15:e0237584.</w:t>
      </w:r>
      <w:r>
        <w:t xml:space="preserve"> </w:t>
      </w:r>
      <w:hyperlink r:id="rId93">
        <w:r>
          <w:rPr>
            <w:rStyle w:val="Hyperlink"/>
          </w:rPr>
          <w:t xml:space="preserve">https://doi.org/10.1371/journal.pone.0237584</w:t>
        </w:r>
      </w:hyperlink>
    </w:p>
    <w:bookmarkEnd w:id="94"/>
    <w:bookmarkStart w:id="96" w:name="ref-aung2018predicting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Aung MT, Bonometti V, Drachen A, et al (2018)</w:t>
      </w:r>
      <w:r>
        <w:t xml:space="preserve"> </w:t>
      </w:r>
      <w:hyperlink r:id="rId95">
        <w:r>
          <w:rPr>
            <w:rStyle w:val="Hyperlink"/>
          </w:rPr>
          <w:t xml:space="preserve">Predicting skill learning in a large, longitudinal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</w:t>
        </w:r>
      </w:hyperlink>
      <w:r>
        <w:t xml:space="preserve">. In: 2018 IEEE conference on computational intelligence and games (CIG). IEEE</w:t>
      </w:r>
    </w:p>
    <w:bookmarkEnd w:id="96"/>
    <w:bookmarkStart w:id="98" w:name="ref-vardal2022mind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Vardal O, Bonometti V, Drachen A, et al (2022) Mind the gap: Distributed practice enhances performance in a</w:t>
      </w:r>
      <w:r>
        <w:t xml:space="preserve"> </w:t>
      </w:r>
      <w:r>
        <w:t xml:space="preserve">MOBA</w:t>
      </w:r>
      <w:r>
        <w:t xml:space="preserve"> </w:t>
      </w:r>
      <w:r>
        <w:t xml:space="preserve">game. PLOS ONE 17:e0275843.</w:t>
      </w:r>
      <w:r>
        <w:t xml:space="preserve"> </w:t>
      </w:r>
      <w:hyperlink r:id="rId97">
        <w:r>
          <w:rPr>
            <w:rStyle w:val="Hyperlink"/>
          </w:rPr>
          <w:t xml:space="preserve">https://doi.org/10.1371/journal.pone.0275843</w:t>
        </w:r>
      </w:hyperlink>
    </w:p>
    <w:bookmarkEnd w:id="98"/>
    <w:bookmarkStart w:id="100" w:name="ref-raasveldt2019duckdb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Raasveldt M, Mühleisen H (2019)</w:t>
      </w:r>
      <w:r>
        <w:t xml:space="preserve"> </w:t>
      </w:r>
      <w:hyperlink r:id="rId99">
        <w:r>
          <w:rPr>
            <w:rStyle w:val="Hyperlink"/>
          </w:rPr>
          <w:t xml:space="preserve">DuckDB</w:t>
        </w:r>
        <w:r>
          <w:rPr>
            <w:rStyle w:val="Hyperlink"/>
          </w:rPr>
          <w:t xml:space="preserve">: An embeddable analytical database</w:t>
        </w:r>
      </w:hyperlink>
      <w:r>
        <w:t xml:space="preserve">. In: Proceedings of the 2019 international conference on management of data (SIGMOD). pp 1981–1984</w:t>
      </w:r>
    </w:p>
    <w:bookmarkEnd w:id="100"/>
    <w:bookmarkStart w:id="102" w:name="ref-lomb1976least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Lomb NR (1976) Least-squares frequency analysis of unequally spaced data. Astrophysics and Space Science 39:447–462.</w:t>
      </w:r>
      <w:r>
        <w:t xml:space="preserve"> </w:t>
      </w:r>
      <w:hyperlink r:id="rId101">
        <w:r>
          <w:rPr>
            <w:rStyle w:val="Hyperlink"/>
          </w:rPr>
          <w:t xml:space="preserve">https://doi.org/10.1007/BF00648343</w:t>
        </w:r>
      </w:hyperlink>
    </w:p>
    <w:bookmarkEnd w:id="102"/>
    <w:bookmarkStart w:id="104" w:name="ref-scargle1982studie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Scargle JD (1982) Studies in astronomical time series analysis. II. Statistical aspects of spectral analysis of unevenly spaced data. The Astrophysical Journal 263:835–853.</w:t>
      </w:r>
      <w:r>
        <w:t xml:space="preserve"> </w:t>
      </w:r>
      <w:hyperlink r:id="rId103">
        <w:r>
          <w:rPr>
            <w:rStyle w:val="Hyperlink"/>
          </w:rPr>
          <w:t xml:space="preserve">https://doi.org/10.1086/160554</w:t>
        </w:r>
      </w:hyperlink>
    </w:p>
    <w:bookmarkEnd w:id="104"/>
    <w:bookmarkStart w:id="106" w:name="ref-astropy2018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Astropy Collaboration (2018) The</w:t>
      </w:r>
      <w:r>
        <w:t xml:space="preserve"> </w:t>
      </w:r>
      <w:r>
        <w:t xml:space="preserve">Astropy</w:t>
      </w:r>
      <w:r>
        <w:t xml:space="preserve"> </w:t>
      </w:r>
      <w:r>
        <w:t xml:space="preserve">project: Building an open-science project and status of the v2.0 core package. The Astronomical Journal 156:123.</w:t>
      </w:r>
      <w:r>
        <w:t xml:space="preserve"> </w:t>
      </w:r>
      <w:hyperlink r:id="rId105">
        <w:r>
          <w:rPr>
            <w:rStyle w:val="Hyperlink"/>
          </w:rPr>
          <w:t xml:space="preserve">https://doi.org/10.3847/1538-3881/aabc4f</w:t>
        </w:r>
      </w:hyperlink>
    </w:p>
    <w:bookmarkEnd w:id="106"/>
    <w:bookmarkStart w:id="108" w:name="ref-vanderplas2018understanding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VanderPlas JT (2018) Understanding the lomb-scargle periodogram. The Astrophysical Journal Supplement Series 236:16.</w:t>
      </w:r>
      <w:r>
        <w:t xml:space="preserve"> </w:t>
      </w:r>
      <w:hyperlink r:id="rId107">
        <w:r>
          <w:rPr>
            <w:rStyle w:val="Hyperlink"/>
          </w:rPr>
          <w:t xml:space="preserve">https://doi.org/10.3847/1538-4365/aab766</w:t>
        </w:r>
      </w:hyperlink>
    </w:p>
    <w:bookmarkEnd w:id="108"/>
    <w:bookmarkStart w:id="110" w:name="ref-benjamini1995controll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09">
        <w:r>
          <w:rPr>
            <w:rStyle w:val="Hyperlink"/>
          </w:rPr>
          <w:t xml:space="preserve">https://doi.org/10.1111/j.2517-6161.1995.tb02031.x</w:t>
        </w:r>
      </w:hyperlink>
    </w:p>
    <w:bookmarkEnd w:id="110"/>
    <w:bookmarkStart w:id="112" w:name="ref-fisher1993statistical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Fisher NI (1993)</w:t>
      </w:r>
      <w:r>
        <w:t xml:space="preserve"> </w:t>
      </w:r>
      <w:hyperlink r:id="rId111">
        <w:r>
          <w:rPr>
            <w:rStyle w:val="Hyperlink"/>
          </w:rPr>
          <w:t xml:space="preserve">Statistical analysis of circular data</w:t>
        </w:r>
      </w:hyperlink>
      <w:r>
        <w:t xml:space="preserve">. Cambridge University Press, Cambridge</w:t>
      </w:r>
    </w:p>
    <w:bookmarkEnd w:id="112"/>
    <w:bookmarkStart w:id="114" w:name="ref-mardia2000directional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Mardia KV, Jupp PE (2000)</w:t>
      </w:r>
      <w:r>
        <w:t xml:space="preserve"> </w:t>
      </w:r>
      <w:hyperlink r:id="rId113">
        <w:r>
          <w:rPr>
            <w:rStyle w:val="Hyperlink"/>
          </w:rPr>
          <w:t xml:space="preserve">Directional statistics</w:t>
        </w:r>
      </w:hyperlink>
      <w:r>
        <w:t xml:space="preserve">. John Wiley &amp; Sons, Chichester</w:t>
      </w:r>
    </w:p>
    <w:bookmarkEnd w:id="114"/>
    <w:bookmarkStart w:id="116" w:name="ref-berens2009circsta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Berens P (2009)</w:t>
      </w:r>
      <w:r>
        <w:t xml:space="preserve"> </w:t>
      </w:r>
      <w:r>
        <w:t xml:space="preserve">CircStat</w:t>
      </w:r>
      <w:r>
        <w:t xml:space="preserve">: A</w:t>
      </w:r>
      <w:r>
        <w:t xml:space="preserve"> </w:t>
      </w:r>
      <w:r>
        <w:t xml:space="preserve">MATLAB</w:t>
      </w:r>
      <w:r>
        <w:t xml:space="preserve"> </w:t>
      </w:r>
      <w:r>
        <w:t xml:space="preserve">toolbox for circular statistics. Journal of Statistical Software 31:1–21.</w:t>
      </w:r>
      <w:r>
        <w:t xml:space="preserve"> </w:t>
      </w:r>
      <w:hyperlink r:id="rId115">
        <w:r>
          <w:rPr>
            <w:rStyle w:val="Hyperlink"/>
          </w:rPr>
          <w:t xml:space="preserve">https://doi.org/10.18637/jss.v031.i10</w:t>
        </w:r>
      </w:hyperlink>
    </w:p>
    <w:bookmarkEnd w:id="116"/>
    <w:bookmarkStart w:id="118" w:name="ref-akaike1974new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Akaike H (1974) A new look at the statistical model identification. IEEE Transactions on Automatic Control 19:716–723.</w:t>
      </w:r>
      <w:r>
        <w:t xml:space="preserve"> </w:t>
      </w:r>
      <w:hyperlink r:id="rId117">
        <w:r>
          <w:rPr>
            <w:rStyle w:val="Hyperlink"/>
          </w:rPr>
          <w:t xml:space="preserve">https://doi.org/10.1109/TAC.1974.1100705</w:t>
        </w:r>
      </w:hyperlink>
    </w:p>
    <w:bookmarkEnd w:id="118"/>
    <w:bookmarkStart w:id="120" w:name="ref-schwarz1978estimating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Schwarz G (1978) Estimating the dimension of a model. The Annals of Statistics 6:461–464.</w:t>
      </w:r>
      <w:r>
        <w:t xml:space="preserve"> </w:t>
      </w:r>
      <w:hyperlink r:id="rId119">
        <w:r>
          <w:rPr>
            <w:rStyle w:val="Hyperlink"/>
          </w:rPr>
          <w:t xml:space="preserve">https://doi.org/10.1214/aos/1176344136</w:t>
        </w:r>
      </w:hyperlink>
    </w:p>
    <w:bookmarkEnd w:id="120"/>
    <w:bookmarkStart w:id="122" w:name="ref-harris2020numpy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Harris CR, Millman KJ, Walt SJ van der, et al (2020) Array programming with</w:t>
      </w:r>
      <w:r>
        <w:t xml:space="preserve"> </w:t>
      </w:r>
      <w:r>
        <w:t xml:space="preserve">NumPy</w:t>
      </w:r>
      <w:r>
        <w:t xml:space="preserve">. Nature 585:357–362.</w:t>
      </w:r>
      <w:r>
        <w:t xml:space="preserve"> </w:t>
      </w:r>
      <w:hyperlink r:id="rId121">
        <w:r>
          <w:rPr>
            <w:rStyle w:val="Hyperlink"/>
          </w:rPr>
          <w:t xml:space="preserve">https://doi.org/10.1038/s41586-020-2649-2</w:t>
        </w:r>
      </w:hyperlink>
    </w:p>
    <w:bookmarkEnd w:id="122"/>
    <w:bookmarkStart w:id="124" w:name="ref-virtanen2020scipy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Virtanen P, Gommers R, Oliphant TE, et al (2020)</w:t>
      </w:r>
      <w:r>
        <w:t xml:space="preserve"> 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 Nature Methods 17:261–272.</w:t>
      </w:r>
      <w:r>
        <w:t xml:space="preserve"> </w:t>
      </w:r>
      <w:hyperlink r:id="rId123">
        <w:r>
          <w:rPr>
            <w:rStyle w:val="Hyperlink"/>
          </w:rPr>
          <w:t xml:space="preserve">https://doi.org/10.1038/s41592-019-0686-2</w:t>
        </w:r>
      </w:hyperlink>
    </w:p>
    <w:bookmarkEnd w:id="124"/>
    <w:bookmarkStart w:id="126" w:name="ref-mckinney2010data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McKinney W (2010)</w:t>
      </w:r>
      <w:r>
        <w:t xml:space="preserve"> </w:t>
      </w:r>
      <w:hyperlink r:id="rId125">
        <w:r>
          <w:rPr>
            <w:rStyle w:val="Hyperlink"/>
          </w:rPr>
          <w:t xml:space="preserve">Data structures for statistical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. In: Proceedings of the 9th python in science conference. pp 56–61</w:t>
      </w:r>
    </w:p>
    <w:bookmarkEnd w:id="126"/>
    <w:bookmarkStart w:id="128" w:name="ref-hunter2007matplotlib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Hunter JD (2007) Matplotlib: A 2D graphics environment. Computing in Science &amp; Engineering 9:90–95.</w:t>
      </w:r>
      <w:r>
        <w:t xml:space="preserve"> </w:t>
      </w:r>
      <w:hyperlink r:id="rId127">
        <w:r>
          <w:rPr>
            <w:rStyle w:val="Hyperlink"/>
          </w:rPr>
          <w:t xml:space="preserve">https://doi.org/10.1109/MCSE.2007.55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54" Target="media/rId54.png" /><Relationship Type="http://schemas.openxmlformats.org/officeDocument/2006/relationships/image" Id="rId47" Target="media/rId47.png" /><Relationship Type="http://schemas.openxmlformats.org/officeDocument/2006/relationships/image" Id="rId37" Target="media/rId37.png" /><Relationship Type="http://schemas.openxmlformats.org/officeDocument/2006/relationships/image" Id="rId27" Target="media/rId27.png" /><Relationship Type="http://schemas.openxmlformats.org/officeDocument/2006/relationships/hyperlink" Id="rId113" Target="https://doi.org/10.1002/9780470316979" TargetMode="External" /><Relationship Type="http://schemas.openxmlformats.org/officeDocument/2006/relationships/hyperlink" Id="rId101" Target="https://doi.org/10.1007/BF00648343" TargetMode="External" /><Relationship Type="http://schemas.openxmlformats.org/officeDocument/2006/relationships/hyperlink" Id="rId89" Target="https://doi.org/10.1016/j.cub.2014.12.036" TargetMode="External" /><Relationship Type="http://schemas.openxmlformats.org/officeDocument/2006/relationships/hyperlink" Id="rId78" Target="https://doi.org/10.1016/j.smrv.2007.07.005" TargetMode="External" /><Relationship Type="http://schemas.openxmlformats.org/officeDocument/2006/relationships/hyperlink" Id="rId111" Target="https://doi.org/10.1017/CBO9780511564345" TargetMode="External" /><Relationship Type="http://schemas.openxmlformats.org/officeDocument/2006/relationships/hyperlink" Id="rId121" Target="https://doi.org/10.1038/s41586-020-2649-2" TargetMode="External" /><Relationship Type="http://schemas.openxmlformats.org/officeDocument/2006/relationships/hyperlink" Id="rId123" Target="https://doi.org/10.1038/s41592-019-0686-2" TargetMode="External" /><Relationship Type="http://schemas.openxmlformats.org/officeDocument/2006/relationships/hyperlink" Id="rId87" Target="https://doi.org/10.1038/s41598-018-23044-8" TargetMode="External" /><Relationship Type="http://schemas.openxmlformats.org/officeDocument/2006/relationships/hyperlink" Id="rId80" Target="https://doi.org/10.1080/02643290701754158" TargetMode="External" /><Relationship Type="http://schemas.openxmlformats.org/officeDocument/2006/relationships/hyperlink" Id="rId103" Target="https://doi.org/10.1086/160554" TargetMode="External" /><Relationship Type="http://schemas.openxmlformats.org/officeDocument/2006/relationships/hyperlink" Id="rId95" Target="https://doi.org/10.1109/CIG.2018.8490431" TargetMode="External" /><Relationship Type="http://schemas.openxmlformats.org/officeDocument/2006/relationships/hyperlink" Id="rId127" Target="https://doi.org/10.1109/MCSE.2007.55" TargetMode="External" /><Relationship Type="http://schemas.openxmlformats.org/officeDocument/2006/relationships/hyperlink" Id="rId117" Target="https://doi.org/10.1109/TAC.1974.1100705" TargetMode="External" /><Relationship Type="http://schemas.openxmlformats.org/officeDocument/2006/relationships/hyperlink" Id="rId109" Target="https://doi.org/10.1111/j.2517-6161.1995.tb02031.x" TargetMode="External" /><Relationship Type="http://schemas.openxmlformats.org/officeDocument/2006/relationships/hyperlink" Id="rId99" Target="https://doi.org/10.1145/3299869.3320212" TargetMode="External" /><Relationship Type="http://schemas.openxmlformats.org/officeDocument/2006/relationships/hyperlink" Id="rId83" Target="https://doi.org/10.1177/0748730402239679" TargetMode="External" /><Relationship Type="http://schemas.openxmlformats.org/officeDocument/2006/relationships/hyperlink" Id="rId119" Target="https://doi.org/10.1214/aos/1176344136" TargetMode="External" /><Relationship Type="http://schemas.openxmlformats.org/officeDocument/2006/relationships/hyperlink" Id="rId93" Target="https://doi.org/10.1371/journal.pone.0237584" TargetMode="External" /><Relationship Type="http://schemas.openxmlformats.org/officeDocument/2006/relationships/hyperlink" Id="rId97" Target="https://doi.org/10.1371/journal.pone.0275843" TargetMode="External" /><Relationship Type="http://schemas.openxmlformats.org/officeDocument/2006/relationships/hyperlink" Id="rId115" Target="https://doi.org/10.18637/jss.v031.i10" TargetMode="External" /><Relationship Type="http://schemas.openxmlformats.org/officeDocument/2006/relationships/hyperlink" Id="rId125" Target="https://doi.org/10.25080/Majora-92bf1922-00a" TargetMode="External" /><Relationship Type="http://schemas.openxmlformats.org/officeDocument/2006/relationships/hyperlink" Id="rId85" Target="https://doi.org/10.3109/07420528.2012.719971" TargetMode="External" /><Relationship Type="http://schemas.openxmlformats.org/officeDocument/2006/relationships/hyperlink" Id="rId91" Target="https://doi.org/10.3390/medicina60121950" TargetMode="External" /><Relationship Type="http://schemas.openxmlformats.org/officeDocument/2006/relationships/hyperlink" Id="rId105" Target="https://doi.org/10.3847/1538-3881/aabc4f" TargetMode="External" /><Relationship Type="http://schemas.openxmlformats.org/officeDocument/2006/relationships/hyperlink" Id="rId107" Target="https://doi.org/10.3847/1538-4365/aab766" TargetMode="External" /><Relationship Type="http://schemas.openxmlformats.org/officeDocument/2006/relationships/hyperlink" Id="rId69" Target="https://github.com/wadelab/MSc2026_LoL_Rele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doi.org/10.1002/9780470316979" TargetMode="External" /><Relationship Type="http://schemas.openxmlformats.org/officeDocument/2006/relationships/hyperlink" Id="rId101" Target="https://doi.org/10.1007/BF00648343" TargetMode="External" /><Relationship Type="http://schemas.openxmlformats.org/officeDocument/2006/relationships/hyperlink" Id="rId89" Target="https://doi.org/10.1016/j.cub.2014.12.036" TargetMode="External" /><Relationship Type="http://schemas.openxmlformats.org/officeDocument/2006/relationships/hyperlink" Id="rId78" Target="https://doi.org/10.1016/j.smrv.2007.07.005" TargetMode="External" /><Relationship Type="http://schemas.openxmlformats.org/officeDocument/2006/relationships/hyperlink" Id="rId111" Target="https://doi.org/10.1017/CBO9780511564345" TargetMode="External" /><Relationship Type="http://schemas.openxmlformats.org/officeDocument/2006/relationships/hyperlink" Id="rId121" Target="https://doi.org/10.1038/s41586-020-2649-2" TargetMode="External" /><Relationship Type="http://schemas.openxmlformats.org/officeDocument/2006/relationships/hyperlink" Id="rId123" Target="https://doi.org/10.1038/s41592-019-0686-2" TargetMode="External" /><Relationship Type="http://schemas.openxmlformats.org/officeDocument/2006/relationships/hyperlink" Id="rId87" Target="https://doi.org/10.1038/s41598-018-23044-8" TargetMode="External" /><Relationship Type="http://schemas.openxmlformats.org/officeDocument/2006/relationships/hyperlink" Id="rId80" Target="https://doi.org/10.1080/02643290701754158" TargetMode="External" /><Relationship Type="http://schemas.openxmlformats.org/officeDocument/2006/relationships/hyperlink" Id="rId103" Target="https://doi.org/10.1086/160554" TargetMode="External" /><Relationship Type="http://schemas.openxmlformats.org/officeDocument/2006/relationships/hyperlink" Id="rId95" Target="https://doi.org/10.1109/CIG.2018.8490431" TargetMode="External" /><Relationship Type="http://schemas.openxmlformats.org/officeDocument/2006/relationships/hyperlink" Id="rId127" Target="https://doi.org/10.1109/MCSE.2007.55" TargetMode="External" /><Relationship Type="http://schemas.openxmlformats.org/officeDocument/2006/relationships/hyperlink" Id="rId117" Target="https://doi.org/10.1109/TAC.1974.1100705" TargetMode="External" /><Relationship Type="http://schemas.openxmlformats.org/officeDocument/2006/relationships/hyperlink" Id="rId109" Target="https://doi.org/10.1111/j.2517-6161.1995.tb02031.x" TargetMode="External" /><Relationship Type="http://schemas.openxmlformats.org/officeDocument/2006/relationships/hyperlink" Id="rId99" Target="https://doi.org/10.1145/3299869.3320212" TargetMode="External" /><Relationship Type="http://schemas.openxmlformats.org/officeDocument/2006/relationships/hyperlink" Id="rId83" Target="https://doi.org/10.1177/0748730402239679" TargetMode="External" /><Relationship Type="http://schemas.openxmlformats.org/officeDocument/2006/relationships/hyperlink" Id="rId119" Target="https://doi.org/10.1214/aos/1176344136" TargetMode="External" /><Relationship Type="http://schemas.openxmlformats.org/officeDocument/2006/relationships/hyperlink" Id="rId93" Target="https://doi.org/10.1371/journal.pone.0237584" TargetMode="External" /><Relationship Type="http://schemas.openxmlformats.org/officeDocument/2006/relationships/hyperlink" Id="rId97" Target="https://doi.org/10.1371/journal.pone.0275843" TargetMode="External" /><Relationship Type="http://schemas.openxmlformats.org/officeDocument/2006/relationships/hyperlink" Id="rId115" Target="https://doi.org/10.18637/jss.v031.i10" TargetMode="External" /><Relationship Type="http://schemas.openxmlformats.org/officeDocument/2006/relationships/hyperlink" Id="rId125" Target="https://doi.org/10.25080/Majora-92bf1922-00a" TargetMode="External" /><Relationship Type="http://schemas.openxmlformats.org/officeDocument/2006/relationships/hyperlink" Id="rId85" Target="https://doi.org/10.3109/07420528.2012.719971" TargetMode="External" /><Relationship Type="http://schemas.openxmlformats.org/officeDocument/2006/relationships/hyperlink" Id="rId91" Target="https://doi.org/10.3390/medicina60121950" TargetMode="External" /><Relationship Type="http://schemas.openxmlformats.org/officeDocument/2006/relationships/hyperlink" Id="rId105" Target="https://doi.org/10.3847/1538-3881/aabc4f" TargetMode="External" /><Relationship Type="http://schemas.openxmlformats.org/officeDocument/2006/relationships/hyperlink" Id="rId107" Target="https://doi.org/10.3847/1538-4365/aab766" TargetMode="External" /><Relationship Type="http://schemas.openxmlformats.org/officeDocument/2006/relationships/hyperlink" Id="rId69" Target="https://github.com/wadelab/MSc2026_LoL_Rele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differences in circadian rhythms measured at a global scale</dc:title>
  <dc:creator>Alex R Wade</dc:creator>
  <cp:keywords>circadian rhythms, chronotype, reproducible research, open science, digital trace data, League of Legends, Lomb–Scargle periodogram, computational social science</cp:keywords>
  <dcterms:created xsi:type="dcterms:W3CDTF">2026-07-13T13:49:38Z</dcterms:created>
  <dcterms:modified xsi:type="dcterms:W3CDTF">2026-07-13T13:49:38Z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Human cognition and physical performance vary across the day, and individuals differ systematically in when they peak: the morning-preferring “larks” and evening-preferring “owls” of chronotype research. We asked whether these rhythms appear in large-scale behavioural traces from ranked League of Legends matches. Using ~92.7 million games drawn from the top ~1,000 players on each of 8 regional servers, we built per-player hourly time series of in-game behaviour (two principal components of performance, PC1 and PC2) and of a skill-outcome measure (the change in matchmaking rating, ΔMMR). Play volume is governed by local time: correcting each server by its fixed UTC offset collapses the eight play-volume curves onto one evening-peaked schedule, cutting the across-server spread in mean play hour from 5.83 h to 1.12 h. Within-subject Lomb–Scargle periodograms revealed a sharp circadian peak: across servers the N-weighted best period was 23.96 h for PC1 and 23.94 h for PC2, and the population playtime periodogram peaked at exactly 24.0 h on every server. Per-player peak phases were individually significant for 21.4% of players on PC1 and 18.5% on PC2. Pooling these significant phases, a two-component von Mises mixture was preferred over a single component by both BIC and AIC for PC1 and PC2. Parametric-bootstrap likelihood-ratio tests supported both comparisons, a quantitative signature of two chronotype-like clusters. In contrast, ΔMMR carried essentially no circadian signal (0.3% of players FDR-significant; no server reached the threshold for a modality test). Behaviour is strongly time-of-day structured and bimodally so, consistent with larks and owls; competitive success is not. We release the full analysis code and de-identified derived outputs underlying all figures and summary statistics, and we discuss interpretation limits and data- sharing constraints for public match telemetry.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../references.bib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../springer-basic-brackets.csl</vt:lpwstr>
  </property>
  <property fmtid="{D5CDD505-2E9C-101B-9397-08002B2CF9AE}" pid="10" name="date">
    <vt:lpwstr>2026-06-05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