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0"/>
          <w:szCs w:val="40"/>
        </w:rPr>
        <w:t xml:space="preserve">SP500 GNN Project</w:t>
      </w:r>
    </w:p>
    <w:p>
      <w:pPr>
        <w:spacing w:after="80" w:before="0"/>
      </w:pPr>
      <w:r>
        <w:rPr>
          <w:rFonts w:ascii="Arial" w:cs="Arial" w:eastAsia="Arial" w:hAnsi="Arial"/>
          <w:color w:val="444444"/>
          <w:sz w:val="28"/>
          <w:szCs w:val="28"/>
        </w:rPr>
        <w:t xml:space="preserve">Draft Phase — Technical Memo</w:t>
      </w:r>
    </w:p>
    <w:p>
      <w:pPr>
        <w:spacing w:after="240" w:before="0"/>
      </w:pPr>
      <w:r>
        <w:rPr>
          <w:rFonts w:ascii="Arial" w:cs="Arial" w:eastAsia="Arial" w:hAnsi="Arial"/>
          <w:color w:val="888888"/>
          <w:sz w:val="20"/>
          <w:szCs w:val="20"/>
        </w:rPr>
        <w:t xml:space="preserve">April 2026  |  Confidential</w:t>
      </w:r>
    </w:p>
    <w:p>
      <w:pPr>
        <w:pBdr>
          <w:bottom w:val="single" w:color="CCCCCC" w:sz="4" w:space="1"/>
        </w:pBdr>
        <w:spacing w:after="160" w:before="160"/>
      </w:pPr>
      <w:r>
        <w:t xml:space="preserve"/>
      </w:r>
    </w:p>
    <w:p>
      <w:pPr>
        <w:pStyle w:val="Heading1"/>
        <w:spacing w:after="120" w:before="360"/>
      </w:pPr>
      <w:r>
        <w:rPr>
          <w:rFonts w:ascii="Arial" w:cs="Arial" w:eastAsia="Arial" w:hAnsi="Arial"/>
          <w:b/>
          <w:bCs/>
          <w:sz w:val="28"/>
          <w:szCs w:val="28"/>
        </w:rPr>
        <w:t xml:space="preserve">Executive Summary</w:t>
      </w:r>
    </w:p>
    <w:p>
      <w:pPr>
        <w:spacing w:after="80" w:before="80" w:line="276"/>
      </w:pPr>
      <w:r>
        <w:rPr>
          <w:rFonts w:ascii="Arial" w:cs="Arial" w:eastAsia="Arial" w:hAnsi="Arial"/>
          <w:sz w:val="22"/>
          <w:szCs w:val="22"/>
        </w:rPr>
        <w:t xml:space="preserve">This memo documents the complete draft phase of a graph neural network (GNN) system for predicting realized volatility across the S&amp;P 500. The project began as a return-prediction system, pivoted to volatility forecasting after discovering that price-based return signals have no statistically meaningful predictive power in the large-cap universe, and ultimately produced a working model with an Information Coefficient (IC) of 0.5754 on the validation set and 0.5807 during high-stress market regimes — both exceptional by industry standards.</w:t>
      </w:r>
    </w:p>
    <w:p>
      <w:pPr>
        <w:spacing w:after="120" w:before="0"/>
      </w:pPr>
      <w:r>
        <w:t xml:space="preserve"/>
      </w:r>
    </w:p>
    <w:p>
      <w:pPr>
        <w:spacing w:after="80" w:before="80" w:line="276"/>
      </w:pPr>
      <w:r>
        <w:rPr>
          <w:rFonts w:ascii="Arial" w:cs="Arial" w:eastAsia="Arial" w:hAnsi="Arial"/>
          <w:sz w:val="22"/>
          <w:szCs w:val="22"/>
        </w:rPr>
        <w:t xml:space="preserve">The draft phase was intentionally exploratory and produced messy, iterative code. This memo captures every decision made, every failure encountered, and every fix applied so the production build can be executed cleanly from the ground up.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8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Benchmark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Val IC (Spearman)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0.5754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usable: &gt; 0.02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GNN Val MSE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0.2270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Baseline: 0.3348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Improvement vs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32.18%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Improvement vs Ridge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14.61%</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IC during high-stress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0.5946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 0.4803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GNN IC during low-stress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0.5739</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Ridge: 0.4756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IC advantage (stress vs calm)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+0.114 vs +0.098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larger during stress</w:t>
            </w:r>
          </w:p>
        </w:tc>
      </w:tr>
    </w:tbl>
    <w:p>
      <w:pPr>
        <w:spacing w:after="120" w:before="0"/>
      </w:pPr>
      <w:r>
        <w:t xml:space="preserve"/>
      </w:r>
    </w:p>
    <w:p>
      <w:pPr>
        <w:pStyle w:val="Heading1"/>
        <w:spacing w:after="120" w:before="360"/>
      </w:pPr>
      <w:r>
        <w:rPr>
          <w:rFonts w:ascii="Arial" w:cs="Arial" w:eastAsia="Arial" w:hAnsi="Arial"/>
          <w:b/>
          <w:bCs/>
          <w:sz w:val="28"/>
          <w:szCs w:val="28"/>
        </w:rPr>
        <w:t xml:space="preserve">1. Project Objective</w:t>
      </w:r>
    </w:p>
    <w:p>
      <w:pPr>
        <w:spacing w:after="80" w:before="80" w:line="276"/>
      </w:pPr>
      <w:r>
        <w:rPr>
          <w:rFonts w:ascii="Arial" w:cs="Arial" w:eastAsia="Arial" w:hAnsi="Arial"/>
          <w:sz w:val="22"/>
          <w:szCs w:val="22"/>
        </w:rPr>
        <w:t xml:space="preserve">The core hypothesis of the project is that stocks are not independent assets — they are nodes in a correlation network. A model that can see how a stock's correlated neighbors are behaving should produce better predictions than a model that treats each stock in isolation.</w:t>
      </w:r>
    </w:p>
    <w:p>
      <w:pPr>
        <w:spacing w:after="120" w:before="0"/>
      </w:pPr>
      <w:r>
        <w:t xml:space="preserve"/>
      </w:r>
    </w:p>
    <w:p>
      <w:pPr>
        <w:spacing w:after="80" w:before="80" w:line="276"/>
      </w:pPr>
      <w:r>
        <w:rPr>
          <w:rFonts w:ascii="Arial" w:cs="Arial" w:eastAsia="Arial" w:hAnsi="Arial"/>
          <w:sz w:val="22"/>
          <w:szCs w:val="22"/>
        </w:rPr>
        <w:t xml:space="preserve">Graph neural networks are a natural fit for this structure. At each timestep, a GNN performs message passing over the correlation graph: each stock aggregates features from its neighbors, updates its own representation, and produces a prediction informed by both its own history and the state of its network neighborhood.</w:t>
      </w:r>
    </w:p>
    <w:p>
      <w:pPr>
        <w:spacing w:after="120" w:before="0"/>
      </w:pPr>
      <w:r>
        <w:t xml:space="preserve"/>
      </w:r>
    </w:p>
    <w:p>
      <w:pPr>
        <w:spacing w:after="80" w:before="80" w:line="276"/>
      </w:pPr>
      <w:r>
        <w:rPr>
          <w:rFonts w:ascii="Arial" w:cs="Arial" w:eastAsia="Arial" w:hAnsi="Arial"/>
          <w:sz w:val="22"/>
          <w:szCs w:val="22"/>
        </w:rPr>
        <w:t xml:space="preserve">The mechanism we are trying to capture is volatility spillover: when a highly connected stock experiences a volatility shock, that shock propagates through the graph. A GNN performing message passing directly models this contagion. The hypothesis is falsifiable and specific: the GNN should outperform non-graph baselines most strongly during high-correlation regimes, when the graph is dense and neighbor information is most informative.</w:t>
      </w:r>
    </w:p>
    <w:p>
      <w:pPr>
        <w:pStyle w:val="Heading1"/>
        <w:spacing w:after="120" w:before="360"/>
      </w:pPr>
      <w:r>
        <w:rPr>
          <w:rFonts w:ascii="Arial" w:cs="Arial" w:eastAsia="Arial" w:hAnsi="Arial"/>
          <w:b/>
          <w:bCs/>
          <w:sz w:val="28"/>
          <w:szCs w:val="28"/>
        </w:rPr>
        <w:t xml:space="preserve">2. Pipeline Architecture</w:t>
      </w:r>
    </w:p>
    <w:p>
      <w:pPr>
        <w:spacing w:after="80" w:before="80" w:line="276"/>
      </w:pPr>
      <w:r>
        <w:rPr>
          <w:rFonts w:ascii="Arial" w:cs="Arial" w:eastAsia="Arial" w:hAnsi="Arial"/>
          <w:sz w:val="22"/>
          <w:szCs w:val="22"/>
        </w:rPr>
        <w:t xml:space="preserve">The final pipeline consists of four notebooks executed in sequence. Each notebook reads from disk and writes to disk, making the pipeline modular and re-runnable from any stage.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rPr>
          <w:tblHeader/>
        </w:trPr>
        <w:tc>
          <w:tcPr>
            <w:tcW w:type="dxa" w:w="2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Notebook</w:t>
            </w:r>
          </w:p>
        </w:tc>
        <w:tc>
          <w:tcPr>
            <w:tcW w:type="dxa" w:w="22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32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19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create_dataset.ipynb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log_returns.csv, close/open/high/low/volume.csv, sector_map.csv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to ohlcv_raw.parquet after first run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features.ipynb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log_returns.csv, volume.csv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features.npy, targets_ranked.npy, targets_raw.npy, dates.csv, tickers.csv, feature_names.csv</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features, IC diagnostic, cross-sectional normalization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graph_builder.ipynb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features.npy, targets_ranked.npy, dates.csv, log_returns.csv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edge_indices.npy, edge_weights.npy, train_idx.npy, val_idx.npy, test_idx.npy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60-day rolling correlation, threshold 0.5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gnn.ipynb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of data/processed/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models/stock_gnn_best.pt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GraphSAGE 2-layer, hidden=32, tanh output</w:t>
            </w:r>
          </w:p>
        </w:tc>
      </w:tr>
    </w:tbl>
    <w:p>
      <w:pPr>
        <w:spacing w:after="120" w:before="0"/>
      </w:pPr>
      <w:r>
        <w:t xml:space="preserve"/>
      </w:r>
    </w:p>
    <w:p>
      <w:pPr>
        <w:pStyle w:val="Heading1"/>
        <w:spacing w:after="120" w:before="360"/>
      </w:pPr>
      <w:r>
        <w:rPr>
          <w:rFonts w:ascii="Arial" w:cs="Arial" w:eastAsia="Arial" w:hAnsi="Arial"/>
          <w:b/>
          <w:bCs/>
          <w:sz w:val="28"/>
          <w:szCs w:val="28"/>
        </w:rPr>
        <w:t xml:space="preserve">3. Data</w:t>
      </w:r>
    </w:p>
    <w:p>
      <w:pPr>
        <w:pStyle w:val="Heading2"/>
        <w:spacing w:after="100" w:before="280"/>
      </w:pPr>
      <w:r>
        <w:rPr>
          <w:rFonts w:ascii="Arial" w:cs="Arial" w:eastAsia="Arial" w:hAnsi="Arial"/>
          <w:b/>
          <w:bCs/>
          <w:sz w:val="24"/>
          <w:szCs w:val="24"/>
        </w:rPr>
        <w:t xml:space="preserve">3.1 Universe</w:t>
      </w:r>
    </w:p>
    <w:p>
      <w:pPr>
        <w:spacing w:after="80" w:before="80" w:line="276"/>
      </w:pPr>
      <w:r>
        <w:rPr>
          <w:rFonts w:ascii="Arial" w:cs="Arial" w:eastAsia="Arial" w:hAnsi="Arial"/>
          <w:sz w:val="22"/>
          <w:szCs w:val="22"/>
        </w:rPr>
        <w:t xml:space="preserve">The stock universe is drawn from the S&amp;P 500 constituent list scraped from Wikipedia at runtime. The raw download contains 503 tickers. After filtering for stocks with more than 20% missing close prices and aligning all OHLCV fields to a common ticker set, the final universe contains 462 stocks. All prices are adjusted for splits and dividends via yfinance's auto_adjust parameter.</w:t>
      </w:r>
    </w:p>
    <w:p>
      <w:pPr>
        <w:spacing w:after="120" w:before="0"/>
      </w:pPr>
      <w:r>
        <w:t xml:space="preserve"/>
      </w:r>
    </w:p>
    <w:p>
      <w:pPr>
        <w:spacing w:after="80" w:before="80" w:line="276"/>
      </w:pPr>
      <w:r>
        <w:rPr>
          <w:rFonts w:ascii="Arial" w:cs="Arial" w:eastAsia="Arial" w:hAnsi="Arial"/>
          <w:sz w:val="22"/>
          <w:szCs w:val="22"/>
        </w:rPr>
        <w:t xml:space="preserve">The date range is January 2015 through December 2025, giving 2,764 trading days of log returns across 462 stocks. The raw data is cached to data/ohlcv_raw.parquet after the first download so subsequent runs do not require a live API call.</w:t>
      </w:r>
    </w:p>
    <w:p>
      <w:pPr>
        <w:spacing w:after="120" w:before="0"/>
      </w:pPr>
      <w:r>
        <w:t xml:space="preserve"/>
      </w:r>
    </w:p>
    <w:p>
      <w:pPr>
        <w:pStyle w:val="Heading2"/>
        <w:spacing w:after="100" w:before="280"/>
      </w:pPr>
      <w:r>
        <w:rPr>
          <w:rFonts w:ascii="Arial" w:cs="Arial" w:eastAsia="Arial" w:hAnsi="Arial"/>
          <w:b/>
          <w:bCs/>
          <w:sz w:val="24"/>
          <w:szCs w:val="24"/>
        </w:rPr>
        <w:t xml:space="preserve">3.2 Train / Validation / Test Split</w:t>
      </w:r>
    </w:p>
    <w:p>
      <w:pPr>
        <w:spacing w:after="80" w:before="80" w:line="276"/>
      </w:pPr>
      <w:r>
        <w:rPr>
          <w:rFonts w:ascii="Arial" w:cs="Arial" w:eastAsia="Arial" w:hAnsi="Arial"/>
          <w:sz w:val="22"/>
          <w:szCs w:val="22"/>
        </w:rPr>
        <w:t xml:space="preserve">The time-series split was changed during the draft phase. The original split used 2021/2022 as boundaries; this was updated to 2023/2024 to give the model more training data and a more recent test period.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Split</w:t>
            </w:r>
          </w:p>
        </w:tc>
        <w:tc>
          <w:tcPr>
            <w:tcW w:type="dxa" w:w="3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Period</w:t>
            </w:r>
          </w:p>
        </w:tc>
        <w:tc>
          <w:tcPr>
            <w:tcW w:type="dxa" w:w="33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Timesteps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2015 — Dec 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 2023 — Dec 2023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2024 — Dec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~504</w:t>
            </w:r>
          </w:p>
        </w:tc>
      </w:tr>
    </w:tbl>
    <w:p>
      <w:pPr>
        <w:spacing w:after="120" w:before="0"/>
      </w:pPr>
      <w:r>
        <w:t xml:space="preserve"/>
      </w:r>
    </w:p>
    <w:p>
      <w:pPr>
        <w:spacing w:after="80" w:before="80" w:line="276"/>
      </w:pPr>
      <w:r>
        <w:rPr>
          <w:rFonts w:ascii="Arial" w:cs="Arial" w:eastAsia="Arial" w:hAnsi="Arial"/>
          <w:sz w:val="22"/>
          <w:szCs w:val="22"/>
        </w:rPr>
        <w:t xml:space="preserve">All model selection decisions (hyperparameter tuning, early stopping) are made on the validation set. The test set is held out and evaluated only once at the end.</w:t>
      </w:r>
    </w:p>
    <w:p>
      <w:pPr>
        <w:pStyle w:val="Heading1"/>
        <w:spacing w:after="120" w:before="360"/>
      </w:pPr>
      <w:r>
        <w:rPr>
          <w:rFonts w:ascii="Arial" w:cs="Arial" w:eastAsia="Arial" w:hAnsi="Arial"/>
          <w:b/>
          <w:bCs/>
          <w:sz w:val="28"/>
          <w:szCs w:val="28"/>
        </w:rPr>
        <w:t xml:space="preserve">4. Features</w:t>
      </w:r>
    </w:p>
    <w:p>
      <w:pPr>
        <w:pStyle w:val="Heading2"/>
        <w:spacing w:after="100" w:before="280"/>
      </w:pPr>
      <w:r>
        <w:rPr>
          <w:rFonts w:ascii="Arial" w:cs="Arial" w:eastAsia="Arial" w:hAnsi="Arial"/>
          <w:b/>
          <w:bCs/>
          <w:sz w:val="24"/>
          <w:szCs w:val="24"/>
        </w:rPr>
        <w:t xml:space="preserve">4.1 Feature Set</w:t>
      </w:r>
    </w:p>
    <w:p>
      <w:pPr>
        <w:spacing w:after="80" w:before="80" w:line="276"/>
      </w:pPr>
      <w:r>
        <w:rPr>
          <w:rFonts w:ascii="Arial" w:cs="Arial" w:eastAsia="Arial" w:hAnsi="Arial"/>
          <w:sz w:val="22"/>
          <w:szCs w:val="22"/>
        </w:rPr>
        <w:t xml:space="preserve">Fifteen features are computed per stock per day from log returns and volume. All features are cross-sectionally z-scored at each timestep — meaning each feature value is expressed as a number of standard deviations above or below the cross-sectional mean for that day. This removes market-wide level effects and ensures the model is always reasoning about relative differences between stocks.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800"/>
        <w:gridCol w:w="2160"/>
      </w:tblGrid>
      <w:tr>
        <w:trPr>
          <w:tblHeader/>
        </w:trPr>
        <w:tc>
          <w:tcPr>
            <w:tcW w:type="dxa" w:w="4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8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1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Mean IC (vs vol target)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roll_mean_5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5-day rolling mean log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-0.0395</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roll_mean_20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20-day rolling mean log return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-0.0665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roll_std_5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5-day rolling volatility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0.3998</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roll_std_20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20-day rolling volatility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0.5390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mom_12_1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momentum, skip last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-0.0590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mom_6_1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6-month momentum, skip last month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-0.0533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mom_3_1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3-month momentum, skip last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-0.0506</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mom_1_0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1-month momentum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-0.0640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reversal_1w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1-week reversal (sign-flipped)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0.0386</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sharpe_20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20-day Sharpe ratio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-0.1117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sharpe_60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60-day Sharpe 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-0.1494</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rel_strength_20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vs equal-weight market, 20-day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-0.0665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rel_strength_60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vs equal-weight market, 60-day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-0.0855</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vol_weighted_mom_5</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Volume-weighted momentum, 5-day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-0.0354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vol_weighted_mom_20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Volume-weighted momentum, 20-day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-0.0561</w:t>
            </w:r>
          </w:p>
        </w:tc>
      </w:tr>
    </w:tbl>
    <w:p>
      <w:pPr>
        <w:spacing w:after="120" w:before="0"/>
      </w:pPr>
      <w:r>
        <w:t xml:space="preserve"/>
      </w:r>
    </w:p>
    <w:p>
      <w:pPr>
        <w:pStyle w:val="Heading2"/>
        <w:spacing w:after="100" w:before="280"/>
      </w:pPr>
      <w:r>
        <w:rPr>
          <w:rFonts w:ascii="Arial" w:cs="Arial" w:eastAsia="Arial" w:hAnsi="Arial"/>
          <w:b/>
          <w:bCs/>
          <w:sz w:val="24"/>
          <w:szCs w:val="24"/>
        </w:rPr>
        <w:t xml:space="preserve">4.2 IC Diagnostic</w:t>
      </w:r>
    </w:p>
    <w:p>
      <w:pPr>
        <w:spacing w:after="80" w:before="80" w:line="276"/>
      </w:pPr>
      <w:r>
        <w:rPr>
          <w:rFonts w:ascii="Arial" w:cs="Arial" w:eastAsia="Arial" w:hAnsi="Arial"/>
          <w:sz w:val="22"/>
          <w:szCs w:val="22"/>
        </w:rPr>
        <w:t xml:space="preserve">Before building the GNN, we ran an Information Coefficient (IC) diagnostic on every feature against the volatility target. IC is the Spearman rank correlation between the feature and next-period target, averaged across all timesteps. ICIR is the IC divided by its standard deviation — a measure of signal consistency.</w:t>
      </w:r>
    </w:p>
    <w:p>
      <w:pPr>
        <w:spacing w:after="120" w:before="0"/>
      </w:pPr>
      <w:r>
        <w:t xml:space="preserve"/>
      </w:r>
    </w:p>
    <w:p>
      <w:pPr>
        <w:spacing w:after="80" w:before="80" w:line="276"/>
      </w:pPr>
      <w:r>
        <w:rPr>
          <w:rFonts w:ascii="Arial" w:cs="Arial" w:eastAsia="Arial" w:hAnsi="Arial"/>
          <w:sz w:val="22"/>
          <w:szCs w:val="22"/>
        </w:rPr>
        <w:t xml:space="preserve">Results were unambiguous: roll_std_20 has IC = 0.5390 and ICIR = 5.035. roll_std_5 has IC = 0.3998 and ICIR = 3.183. All other features are near zero. This is the volatility clustering effect: high volatility today predicts high volatility next month. The Ridge regression baseline on all 15 features achieved R2 = 0.14 and 16.4% improvement over the naive mean baseline.</w:t>
      </w:r>
    </w:p>
    <w:p>
      <w:pPr>
        <w:pStyle w:val="Heading1"/>
        <w:spacing w:after="120" w:before="360"/>
      </w:pPr>
      <w:r>
        <w:rPr>
          <w:rFonts w:ascii="Arial" w:cs="Arial" w:eastAsia="Arial" w:hAnsi="Arial"/>
          <w:b/>
          <w:bCs/>
          <w:sz w:val="28"/>
          <w:szCs w:val="28"/>
        </w:rPr>
        <w:t xml:space="preserve">5. Prediction Target</w:t>
      </w:r>
    </w:p>
    <w:p>
      <w:pPr>
        <w:pStyle w:val="Heading2"/>
        <w:spacing w:after="100" w:before="280"/>
      </w:pPr>
      <w:r>
        <w:rPr>
          <w:rFonts w:ascii="Arial" w:cs="Arial" w:eastAsia="Arial" w:hAnsi="Arial"/>
          <w:b/>
          <w:bCs/>
          <w:sz w:val="24"/>
          <w:szCs w:val="24"/>
        </w:rPr>
        <w:t xml:space="preserve">5.1 Target Construction</w:t>
      </w:r>
    </w:p>
    <w:p>
      <w:pPr>
        <w:spacing w:after="80" w:before="80" w:line="276"/>
      </w:pPr>
      <w:r>
        <w:rPr>
          <w:rFonts w:ascii="Arial" w:cs="Arial" w:eastAsia="Arial" w:hAnsi="Arial"/>
          <w:sz w:val="22"/>
          <w:szCs w:val="22"/>
        </w:rPr>
        <w:t xml:space="preserve">The prediction target is next-month realized volatility: the standard deviation of daily log returns over the 20 trading days following each date. This is computed as log_returns.shift(-20).rolling(20).std() — i.e., for each date t, the target is the volatility of the 20 days starting at t+1.</w:t>
      </w:r>
    </w:p>
    <w:p>
      <w:pPr>
        <w:spacing w:after="120" w:before="0"/>
      </w:pPr>
      <w:r>
        <w:t xml:space="preserve"/>
      </w:r>
    </w:p>
    <w:p>
      <w:pPr>
        <w:spacing w:after="80" w:before="80" w:line="276"/>
      </w:pPr>
      <w:r>
        <w:rPr>
          <w:rFonts w:ascii="Arial" w:cs="Arial" w:eastAsia="Arial" w:hAnsi="Arial"/>
          <w:sz w:val="22"/>
          <w:szCs w:val="22"/>
        </w:rPr>
        <w:t xml:space="preserve">The raw volatility values are then cross-sectionally ranked at each timestep and scaled to [-1, 1]. Rank -1 means the stock had the lowest realized volatility among all 462 stocks that month; rank +1 means the highest. The ranking removes the market-wide volatility level (which rises for everyone during crises) and focuses prediction on relative cross-sectional differences.</w:t>
      </w:r>
    </w:p>
    <w:p>
      <w:pPr>
        <w:spacing w:after="120" w:before="0"/>
      </w:pPr>
      <w:r>
        <w:t xml:space="preserve"/>
      </w:r>
    </w:p>
    <w:p>
      <w:pPr>
        <w:pStyle w:val="Heading2"/>
        <w:spacing w:after="100" w:before="280"/>
      </w:pPr>
      <w:r>
        <w:rPr>
          <w:rFonts w:ascii="Arial" w:cs="Arial" w:eastAsia="Arial" w:hAnsi="Arial"/>
          <w:b/>
          <w:bCs/>
          <w:sz w:val="24"/>
          <w:szCs w:val="24"/>
        </w:rPr>
        <w:t xml:space="preserve">5.2 Why Volatility, Not Returns</w:t>
      </w:r>
    </w:p>
    <w:p>
      <w:pPr>
        <w:spacing w:after="80" w:before="80" w:line="276"/>
      </w:pPr>
      <w:r>
        <w:rPr>
          <w:rFonts w:ascii="Arial" w:cs="Arial" w:eastAsia="Arial" w:hAnsi="Arial"/>
          <w:sz w:val="22"/>
          <w:szCs w:val="22"/>
        </w:rPr>
        <w:t xml:space="preserve">The original project target was next-week return direction. Extensive IC testing showed that all 15 price-based features have near-zero predictive power for returns in the S&amp;P 500 universe. The best feature (roll_std_20 against return target) had IC = 0.028 and ICIR = 0.127 — below the industry threshold of IC &gt; 0.02 / ICIR &gt; 0.30.</w:t>
      </w:r>
    </w:p>
    <w:p>
      <w:pPr>
        <w:spacing w:after="120" w:before="0"/>
      </w:pPr>
      <w:r>
        <w:t xml:space="preserve"/>
      </w:r>
    </w:p>
    <w:p>
      <w:pPr>
        <w:spacing w:after="80" w:before="80" w:line="276"/>
      </w:pPr>
      <w:r>
        <w:rPr>
          <w:rFonts w:ascii="Arial" w:cs="Arial" w:eastAsia="Arial" w:hAnsi="Arial"/>
          <w:sz w:val="22"/>
          <w:szCs w:val="22"/>
        </w:rPr>
        <w:t xml:space="preserve">This is not a data or model failure. The S&amp;P 500 is the most efficiently priced equity universe on earth. Every major quantitative fund is already trading momentum, reversal, and volatility signals on these 500 stocks. The anomalies documented in academic papers either require proprietary data or exist in less efficiently priced universes such as small caps or emerging markets.</w:t>
      </w:r>
    </w:p>
    <w:p>
      <w:pPr>
        <w:spacing w:after="120" w:before="0"/>
      </w:pPr>
      <w:r>
        <w:t xml:space="preserve"/>
      </w:r>
    </w:p>
    <w:p>
      <w:pPr>
        <w:spacing w:after="80" w:before="80" w:line="276"/>
      </w:pPr>
      <w:r>
        <w:rPr>
          <w:rFonts w:ascii="Arial" w:cs="Arial" w:eastAsia="Arial" w:hAnsi="Arial"/>
          <w:sz w:val="22"/>
          <w:szCs w:val="22"/>
        </w:rPr>
        <w:t xml:space="preserve">Switching to volatility as the target transformed the problem. Volatility clustering — the tendency for high-volatility periods to follow high-volatility periods — is one of the most robust empirical findings in finance and is not arbitraged away because it does not directly represent a tradeable return anomaly. It is a structural feature of how information flows through markets.</w:t>
      </w:r>
    </w:p>
    <w:p>
      <w:pPr>
        <w:pStyle w:val="Heading1"/>
        <w:spacing w:after="120" w:before="360"/>
      </w:pPr>
      <w:r>
        <w:rPr>
          <w:rFonts w:ascii="Arial" w:cs="Arial" w:eastAsia="Arial" w:hAnsi="Arial"/>
          <w:b/>
          <w:bCs/>
          <w:sz w:val="28"/>
          <w:szCs w:val="28"/>
        </w:rPr>
        <w:t xml:space="preserve">6. Graph Construction</w:t>
      </w:r>
    </w:p>
    <w:p>
      <w:pPr>
        <w:pStyle w:val="Heading2"/>
        <w:spacing w:after="100" w:before="280"/>
      </w:pPr>
      <w:r>
        <w:rPr>
          <w:rFonts w:ascii="Arial" w:cs="Arial" w:eastAsia="Arial" w:hAnsi="Arial"/>
          <w:b/>
          <w:bCs/>
          <w:sz w:val="24"/>
          <w:szCs w:val="24"/>
        </w:rPr>
        <w:t xml:space="preserve">6.1 Methodology</w:t>
      </w:r>
    </w:p>
    <w:p>
      <w:pPr>
        <w:spacing w:after="80" w:before="80" w:line="276"/>
      </w:pPr>
      <w:r>
        <w:rPr>
          <w:rFonts w:ascii="Arial" w:cs="Arial" w:eastAsia="Arial" w:hAnsi="Arial"/>
          <w:sz w:val="22"/>
          <w:szCs w:val="22"/>
        </w:rPr>
        <w:t xml:space="preserve">At each timestep t, a correlation graph is constructed over all 462 stocks using a 60-day rolling window of log returns ending at date t. The pairwise Pearson correlation matrix is computed via numpy.corrcoef on the transposed returns matrix. An edge is created between stocks i and j if their correlation exceeds 0.5.</w:t>
      </w:r>
    </w:p>
    <w:p>
      <w:pPr>
        <w:spacing w:after="120" w:before="0"/>
      </w:pPr>
      <w:r>
        <w:t xml:space="preserve"/>
      </w:r>
    </w:p>
    <w:p>
      <w:pPr>
        <w:spacing w:after="80" w:before="80" w:line="276"/>
      </w:pPr>
      <w:r>
        <w:rPr>
          <w:rFonts w:ascii="Arial" w:cs="Arial" w:eastAsia="Arial" w:hAnsi="Arial"/>
          <w:sz w:val="22"/>
          <w:szCs w:val="22"/>
        </w:rPr>
        <w:t xml:space="preserve">Edges are stored as (2, E) int64 arrays of source and destination node indices. Edge weights (the raw correlation values) are stored as (E,) float32 arrays. Both are saved as numpy object arrays since edge count varies by timestep.</w:t>
      </w:r>
    </w:p>
    <w:p>
      <w:pPr>
        <w:spacing w:after="120" w:before="0"/>
      </w:pPr>
      <w:r>
        <w:t xml:space="preserve"/>
      </w:r>
    </w:p>
    <w:p>
      <w:pPr>
        <w:pStyle w:val="Heading2"/>
        <w:spacing w:after="100" w:before="280"/>
      </w:pPr>
      <w:r>
        <w:rPr>
          <w:rFonts w:ascii="Arial" w:cs="Arial" w:eastAsia="Arial" w:hAnsi="Arial"/>
          <w:b/>
          <w:bCs/>
          <w:sz w:val="24"/>
          <w:szCs w:val="24"/>
        </w:rPr>
        <w:t xml:space="preserve">6.2 Graph Properties</w:t>
      </w:r>
    </w:p>
    <w:p>
      <w:pPr>
        <w:spacing w:after="80" w:before="80" w:line="276"/>
      </w:pPr>
      <w:r>
        <w:rPr>
          <w:rFonts w:ascii="Arial" w:cs="Arial" w:eastAsia="Arial" w:hAnsi="Arial"/>
          <w:sz w:val="22"/>
          <w:szCs w:val="22"/>
        </w:rPr>
        <w:t xml:space="preserve">The graph exhibits strong regime-dependence. During calm markets the graph is sparse — most stock pairs have correlation below 0.5 and the average stock has 5-20 neighbors. During the COVID crash of March 2020, the graph became nearly fully connected, with most stocks having degree approaching 461 (connected to every other stock). This is historically accurate: the March 2020 selloff was one of the most correlated market events in history.</w:t>
      </w:r>
    </w:p>
    <w:p>
      <w:pPr>
        <w:spacing w:after="120" w:before="0"/>
      </w:pPr>
      <w:r>
        <w:t xml:space="preserve"/>
      </w:r>
    </w:p>
    <w:p>
      <w:pPr>
        <w:spacing w:after="80" w:before="80" w:line="276"/>
      </w:pPr>
      <w:r>
        <w:rPr>
          <w:rFonts w:ascii="Arial" w:cs="Arial" w:eastAsia="Arial" w:hAnsi="Arial"/>
          <w:sz w:val="22"/>
          <w:szCs w:val="22"/>
        </w:rPr>
        <w:t xml:space="preserve">A threshold of 0.5 was used throughout the draft phase. Post-analysis of the degree distribution plot suggests that 0.65 may produce more informative graphs during stress periods by filtering out weaker correlations that become spuriously significant during panics. This is a recommended experiment for the production build.</w:t>
      </w:r>
    </w:p>
    <w:p>
      <w:pPr>
        <w:spacing w:after="120" w:before="0"/>
      </w:pPr>
      <w:r>
        <w:t xml:space="preserve"/>
      </w:r>
    </w:p>
    <w:p>
      <w:pPr>
        <w:pStyle w:val="Heading2"/>
        <w:spacing w:after="100" w:before="280"/>
      </w:pPr>
      <w:r>
        <w:rPr>
          <w:rFonts w:ascii="Arial" w:cs="Arial" w:eastAsia="Arial" w:hAnsi="Arial"/>
          <w:b/>
          <w:bCs/>
          <w:sz w:val="24"/>
          <w:szCs w:val="24"/>
        </w:rPr>
        <w:t xml:space="preserve">6.3 Key Observation on Hub Stocks</w:t>
      </w:r>
    </w:p>
    <w:p>
      <w:pPr>
        <w:spacing w:after="80" w:before="80" w:line="276"/>
      </w:pPr>
      <w:r>
        <w:rPr>
          <w:rFonts w:ascii="Arial" w:cs="Arial" w:eastAsia="Arial" w:hAnsi="Arial"/>
          <w:sz w:val="22"/>
          <w:szCs w:val="22"/>
        </w:rPr>
        <w:t xml:space="preserve">At peak stress (2020-03-17), the top 20 hub stocks (RMD, GD, JBL, MNST, ACN, PRU, CINF, DTE, VRSK, TXN, and others) all had degree approximately equal to 461 — essentially connected to the entire universe. This means hub identification is only meaningful during calm or moderate-stress periods. A useful addition for the production build would be a time-varying hub score that tracks which stocks are most central during non-crisis periods.</w:t>
      </w:r>
    </w:p>
    <w:p>
      <w:pPr>
        <w:pStyle w:val="Heading1"/>
        <w:spacing w:after="120" w:before="360"/>
      </w:pPr>
      <w:r>
        <w:rPr>
          <w:rFonts w:ascii="Arial" w:cs="Arial" w:eastAsia="Arial" w:hAnsi="Arial"/>
          <w:b/>
          <w:bCs/>
          <w:sz w:val="28"/>
          <w:szCs w:val="28"/>
        </w:rPr>
        <w:t xml:space="preserve">7. Model Architecture</w:t>
      </w:r>
    </w:p>
    <w:p>
      <w:pPr>
        <w:pStyle w:val="Heading2"/>
        <w:spacing w:after="100" w:before="280"/>
      </w:pPr>
      <w:r>
        <w:rPr>
          <w:rFonts w:ascii="Arial" w:cs="Arial" w:eastAsia="Arial" w:hAnsi="Arial"/>
          <w:b/>
          <w:bCs/>
          <w:sz w:val="24"/>
          <w:szCs w:val="24"/>
        </w:rPr>
        <w:t xml:space="preserve">7.1 GraphSAGE</w:t>
      </w:r>
    </w:p>
    <w:p>
      <w:pPr>
        <w:spacing w:after="80" w:before="80" w:line="276"/>
      </w:pPr>
      <w:r>
        <w:rPr>
          <w:rFonts w:ascii="Arial" w:cs="Arial" w:eastAsia="Arial" w:hAnsi="Arial"/>
          <w:sz w:val="22"/>
          <w:szCs w:val="22"/>
        </w:rPr>
        <w:t xml:space="preserve">The model is a 2-layer GraphSAGE (Graph Sample and Aggregate) network. GraphSAGE was chosen over GCN and GAT for two reasons: it supports inductive inference (it generalizes to unseen graph structures) and it does not require symmetric normalization of the adjacency matrix, which is important when graph density varies dramatically across time.</w:t>
      </w:r>
    </w:p>
    <w:p>
      <w:pPr>
        <w:spacing w:after="120" w:before="0"/>
      </w:pPr>
      <w:r>
        <w:t xml:space="preserve"/>
      </w:r>
    </w:p>
    <w:p>
      <w:pPr>
        <w:spacing w:after="80" w:before="80" w:line="276"/>
      </w:pPr>
      <w:r>
        <w:rPr>
          <w:rFonts w:ascii="Arial" w:cs="Arial" w:eastAsia="Arial" w:hAnsi="Arial"/>
          <w:sz w:val="22"/>
          <w:szCs w:val="22"/>
        </w:rPr>
        <w:t xml:space="preserve">The architecture is minimal by design — the goal of the draft phase was to establish that the graph structure adds value at all, not to maximize model complexity.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Hyperparameter</w:t>
            </w:r>
          </w:p>
        </w:tc>
        <w:tc>
          <w:tcPr>
            <w:tcW w:type="dxa" w:w="2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feature, inferred from data at load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Hidden channels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Reduced from 64 after observing overfitting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volatility rank per stock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layers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rounds of message passing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after each conv layer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activation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 — bounds output to (-1, 1) matching target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squared error on cross-sectional ranks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lr=0.001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CosineAnnealingLR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T_max=200, eta_min=1e-5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Early stopping patience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Restore best weights on trigger</w:t>
            </w:r>
          </w:p>
        </w:tc>
      </w:tr>
    </w:tbl>
    <w:p>
      <w:pPr>
        <w:spacing w:after="120" w:before="0"/>
      </w:pPr>
      <w:r>
        <w:t xml:space="preserve"/>
      </w:r>
    </w:p>
    <w:p>
      <w:pPr>
        <w:pStyle w:val="Heading2"/>
        <w:spacing w:after="100" w:before="280"/>
      </w:pPr>
      <w:r>
        <w:rPr>
          <w:rFonts w:ascii="Arial" w:cs="Arial" w:eastAsia="Arial" w:hAnsi="Arial"/>
          <w:b/>
          <w:bCs/>
          <w:sz w:val="24"/>
          <w:szCs w:val="24"/>
        </w:rPr>
        <w:t xml:space="preserve">7.2 Message Passing</w:t>
      </w:r>
    </w:p>
    <w:p>
      <w:pPr>
        <w:spacing w:after="80" w:before="80" w:line="276"/>
      </w:pPr>
      <w:r>
        <w:rPr>
          <w:rFonts w:ascii="Arial" w:cs="Arial" w:eastAsia="Arial" w:hAnsi="Arial"/>
          <w:sz w:val="22"/>
          <w:szCs w:val="22"/>
        </w:rPr>
        <w:t xml:space="preserve">At each timestep, the model receives the feature matrix X of shape (462, 15) and the edge_index tensor of shape (2, E). Forward pass: each SAGEConv layer aggregates neighbor features using mean pooling, concatenates with the node's own features, applies a linear transformation, ReLU activation, and dropout. After two layers, a final linear layer maps the 32-dimensional node embedding to a scalar, and tanh squashes it to (-1, 1).</w:t>
      </w:r>
    </w:p>
    <w:p>
      <w:pPr>
        <w:spacing w:after="120" w:before="0"/>
      </w:pPr>
      <w:r>
        <w:t xml:space="preserve"/>
      </w:r>
    </w:p>
    <w:p>
      <w:pPr>
        <w:spacing w:after="80" w:before="80" w:line="276"/>
      </w:pPr>
      <w:r>
        <w:rPr>
          <w:rFonts w:ascii="Arial" w:cs="Arial" w:eastAsia="Arial" w:hAnsi="Arial"/>
          <w:sz w:val="22"/>
          <w:szCs w:val="22"/>
        </w:rPr>
        <w:t xml:space="preserve">Edge weights are stored and loaded but are not passed to SAGEConv in the current implementation. SAGEConv with default mean aggregation does not use edge weights — to use them requires switching to aggr='sum' and passing edge_weight explicitly. This is a known limitation to fix in the production build.</w:t>
      </w:r>
    </w:p>
    <w:p>
      <w:pPr>
        <w:spacing w:after="120" w:before="0"/>
      </w:pPr>
      <w:r>
        <w:t xml:space="preserve"/>
      </w:r>
    </w:p>
    <w:p>
      <w:pPr>
        <w:pStyle w:val="Heading2"/>
        <w:spacing w:after="100" w:before="280"/>
      </w:pPr>
      <w:r>
        <w:rPr>
          <w:rFonts w:ascii="Arial" w:cs="Arial" w:eastAsia="Arial" w:hAnsi="Arial"/>
          <w:b/>
          <w:bCs/>
          <w:sz w:val="24"/>
          <w:szCs w:val="24"/>
        </w:rPr>
        <w:t xml:space="preserve">7.3 Training Loop</w:t>
      </w:r>
    </w:p>
    <w:p>
      <w:pPr>
        <w:spacing w:after="80" w:before="80" w:line="276"/>
      </w:pPr>
      <w:r>
        <w:rPr>
          <w:rFonts w:ascii="Arial" w:cs="Arial" w:eastAsia="Arial" w:hAnsi="Arial"/>
          <w:sz w:val="22"/>
          <w:szCs w:val="22"/>
        </w:rPr>
        <w:t xml:space="preserve">Training processes all timesteps in the training split sequentially. For each timestep t, the graph for that day is assembled, a forward pass produces predictions for all 462 stocks simultaneously, and MSE loss is computed against the ranked targets. Gradients are accumulated per-timestep (not batched across timesteps). The validation loss is computed after each epoch without gradient updates.</w:t>
      </w:r>
    </w:p>
    <w:p>
      <w:pPr>
        <w:pStyle w:val="Heading1"/>
        <w:spacing w:after="120" w:before="360"/>
      </w:pPr>
      <w:r>
        <w:rPr>
          <w:rFonts w:ascii="Arial" w:cs="Arial" w:eastAsia="Arial" w:hAnsi="Arial"/>
          <w:b/>
          <w:bCs/>
          <w:sz w:val="28"/>
          <w:szCs w:val="28"/>
        </w:rPr>
        <w:t xml:space="preserve">8. Bugs Encountered and Fixed</w:t>
      </w:r>
    </w:p>
    <w:p>
      <w:pPr>
        <w:spacing w:after="80" w:before="80" w:line="276"/>
      </w:pPr>
      <w:r>
        <w:rPr>
          <w:rFonts w:ascii="Arial" w:cs="Arial" w:eastAsia="Arial" w:hAnsi="Arial"/>
          <w:sz w:val="22"/>
          <w:szCs w:val="22"/>
        </w:rPr>
        <w:t xml:space="preserve">The draft phase was non-linear and involved several significant bugs. Each is documented here for reference.</w:t>
      </w:r>
    </w:p>
    <w:p>
      <w:pPr>
        <w:spacing w:after="120" w:before="0"/>
      </w:pPr>
      <w:r>
        <w:t xml:space="preserve"/>
      </w:r>
    </w:p>
    <w:p>
      <w:pPr>
        <w:pStyle w:val="Heading2"/>
        <w:spacing w:after="100" w:before="280"/>
      </w:pPr>
      <w:r>
        <w:rPr>
          <w:rFonts w:ascii="Arial" w:cs="Arial" w:eastAsia="Arial" w:hAnsi="Arial"/>
          <w:b/>
          <w:bCs/>
          <w:sz w:val="24"/>
          <w:szCs w:val="24"/>
        </w:rPr>
        <w:t xml:space="preserve">8.1 Model Collapse to Zero (Critical)</w:t>
      </w:r>
    </w:p>
    <w:p>
      <w:pPr>
        <w:spacing w:after="80" w:before="80" w:line="276"/>
      </w:pPr>
      <w:r>
        <w:rPr>
          <w:rFonts w:ascii="Arial" w:cs="Arial" w:eastAsia="Arial" w:hAnsi="Arial"/>
          <w:sz w:val="22"/>
          <w:szCs w:val="22"/>
        </w:rPr>
        <w:t xml:space="preserve">Symptom: training stopped at epoch 23 with val loss of 0.3352, barely below the baseline MSE of 0.3348. Both the GNN and Ridge regression predicted near-zero for every stock (Ridge pred std = 0.012 vs true std = 0.579).</w:t>
      </w:r>
    </w:p>
    <w:p>
      <w:pPr>
        <w:spacing w:after="120" w:before="0"/>
      </w:pPr>
      <w:r>
        <w:t xml:space="preserve"/>
      </w:r>
    </w:p>
    <w:p>
      <w:pPr>
        <w:spacing w:after="80" w:before="80" w:line="276"/>
      </w:pPr>
      <w:r>
        <w:rPr>
          <w:rFonts w:ascii="Arial" w:cs="Arial" w:eastAsia="Arial" w:hAnsi="Arial"/>
          <w:sz w:val="22"/>
          <w:szCs w:val="22"/>
        </w:rPr>
        <w:t xml:space="preserve">Cause: the output layer was a raw linear layer with no bounds. The ranked target is distributed in [-1, 1] with mean zero and std ~0.58. MSE is minimized by predicting the mean, which is approximately zero, so the model found the trivial solution.</w:t>
      </w:r>
    </w:p>
    <w:p>
      <w:pPr>
        <w:spacing w:after="120" w:before="0"/>
      </w:pPr>
      <w:r>
        <w:t xml:space="preserve"/>
      </w:r>
    </w:p>
    <w:p>
      <w:pPr>
        <w:spacing w:after="80" w:before="80" w:line="276"/>
      </w:pPr>
      <w:r>
        <w:rPr>
          <w:rFonts w:ascii="Arial" w:cs="Arial" w:eastAsia="Arial" w:hAnsi="Arial"/>
          <w:sz w:val="22"/>
          <w:szCs w:val="22"/>
        </w:rPr>
        <w:t xml:space="preserve">Fix: added tanh activation to the output layer. This bounds predictions to (-1, 1) and forces the model to use its full output range to reduce loss. After this fix, val loss dropped to 0.228 and IC reached 0.575.</w:t>
      </w:r>
    </w:p>
    <w:p>
      <w:pPr>
        <w:spacing w:after="120" w:before="0"/>
      </w:pPr>
      <w:r>
        <w:t xml:space="preserve"/>
      </w:r>
    </w:p>
    <w:p>
      <w:pPr>
        <w:pStyle w:val="Heading2"/>
        <w:spacing w:after="100" w:before="280"/>
      </w:pPr>
      <w:r>
        <w:rPr>
          <w:rFonts w:ascii="Arial" w:cs="Arial" w:eastAsia="Arial" w:hAnsi="Arial"/>
          <w:b/>
          <w:bCs/>
          <w:sz w:val="24"/>
          <w:szCs w:val="24"/>
        </w:rPr>
        <w:t xml:space="preserve">8.2 Target Filename Mismatch</w:t>
      </w:r>
    </w:p>
    <w:p>
      <w:pPr>
        <w:spacing w:after="80" w:before="80" w:line="276"/>
      </w:pPr>
      <w:r>
        <w:rPr>
          <w:rFonts w:ascii="Arial" w:cs="Arial" w:eastAsia="Arial" w:hAnsi="Arial"/>
          <w:sz w:val="22"/>
          <w:szCs w:val="22"/>
        </w:rPr>
        <w:t xml:space="preserve">Symptom: FileNotFoundError when gnn.ipynb tried to load targets.</w:t>
      </w:r>
    </w:p>
    <w:p>
      <w:pPr>
        <w:spacing w:after="120" w:before="0"/>
      </w:pPr>
      <w:r>
        <w:t xml:space="preserve"/>
      </w:r>
    </w:p>
    <w:p>
      <w:pPr>
        <w:spacing w:after="80" w:before="80" w:line="276"/>
      </w:pPr>
      <w:r>
        <w:rPr>
          <w:rFonts w:ascii="Arial" w:cs="Arial" w:eastAsia="Arial" w:hAnsi="Arial"/>
          <w:sz w:val="22"/>
          <w:szCs w:val="22"/>
        </w:rPr>
        <w:t xml:space="preserve">Cause: graph_builder.ipynb saved the target as targets.npy but gnn.ipynb expected targets_ranked.npy. The files were generated at different times with inconsistent naming.</w:t>
      </w:r>
    </w:p>
    <w:p>
      <w:pPr>
        <w:spacing w:after="120" w:before="0"/>
      </w:pPr>
      <w:r>
        <w:t xml:space="preserve"/>
      </w:r>
    </w:p>
    <w:p>
      <w:pPr>
        <w:spacing w:after="80" w:before="80" w:line="276"/>
      </w:pPr>
      <w:r>
        <w:rPr>
          <w:rFonts w:ascii="Arial" w:cs="Arial" w:eastAsia="Arial" w:hAnsi="Arial"/>
          <w:sz w:val="22"/>
          <w:szCs w:val="22"/>
        </w:rPr>
        <w:t xml:space="preserve">Fix: standardized on targets_ranked.npy across all notebooks.</w:t>
      </w:r>
    </w:p>
    <w:p>
      <w:pPr>
        <w:spacing w:after="120" w:before="0"/>
      </w:pPr>
      <w:r>
        <w:t xml:space="preserve"/>
      </w:r>
    </w:p>
    <w:p>
      <w:pPr>
        <w:pStyle w:val="Heading2"/>
        <w:spacing w:after="100" w:before="280"/>
      </w:pPr>
      <w:r>
        <w:rPr>
          <w:rFonts w:ascii="Arial" w:cs="Arial" w:eastAsia="Arial" w:hAnsi="Arial"/>
          <w:b/>
          <w:bCs/>
          <w:sz w:val="24"/>
          <w:szCs w:val="24"/>
        </w:rPr>
        <w:t xml:space="preserve">8.3 CSV Column Name KeyError ('0')</w:t>
      </w:r>
    </w:p>
    <w:p>
      <w:pPr>
        <w:spacing w:after="80" w:before="80" w:line="276"/>
      </w:pPr>
      <w:r>
        <w:rPr>
          <w:rFonts w:ascii="Arial" w:cs="Arial" w:eastAsia="Arial" w:hAnsi="Arial"/>
          <w:sz w:val="22"/>
          <w:szCs w:val="22"/>
        </w:rPr>
        <w:t xml:space="preserve">Symptom: KeyError: '0' when loading dates.csv, tickers.csv, or feature_names.csv.</w:t>
      </w:r>
    </w:p>
    <w:p>
      <w:pPr>
        <w:spacing w:after="120" w:before="0"/>
      </w:pPr>
      <w:r>
        <w:t xml:space="preserve"/>
      </w:r>
    </w:p>
    <w:p>
      <w:pPr>
        <w:spacing w:after="80" w:before="80" w:line="276"/>
      </w:pPr>
      <w:r>
        <w:rPr>
          <w:rFonts w:ascii="Arial" w:cs="Arial" w:eastAsia="Arial" w:hAnsi="Arial"/>
          <w:sz w:val="22"/>
          <w:szCs w:val="22"/>
        </w:rPr>
        <w:t xml:space="preserve">Cause: pd.Series.to_csv() without an explicit name argument produces a CSV with a column named '0' in some pandas versions and an unnamed column in others. The load code used ["0"] to access the column, which failed when the column was unnamed.</w:t>
      </w:r>
    </w:p>
    <w:p>
      <w:pPr>
        <w:spacing w:after="120" w:before="0"/>
      </w:pPr>
      <w:r>
        <w:t xml:space="preserve"/>
      </w:r>
    </w:p>
    <w:p>
      <w:pPr>
        <w:spacing w:after="80" w:before="80" w:line="276"/>
      </w:pPr>
      <w:r>
        <w:rPr>
          <w:rFonts w:ascii="Arial" w:cs="Arial" w:eastAsia="Arial" w:hAnsi="Arial"/>
          <w:sz w:val="22"/>
          <w:szCs w:val="22"/>
        </w:rPr>
        <w:t xml:space="preserve">Fix: replaced all ["0"] column accesses with .iloc[:, 0] throughout graph_builder.ipynb and gnn.ipynb. This is robust to any column name.</w:t>
      </w:r>
    </w:p>
    <w:p>
      <w:pPr>
        <w:spacing w:after="120" w:before="0"/>
      </w:pPr>
      <w:r>
        <w:t xml:space="preserve"/>
      </w:r>
    </w:p>
    <w:p>
      <w:pPr>
        <w:pStyle w:val="Heading2"/>
        <w:spacing w:after="100" w:before="280"/>
      </w:pPr>
      <w:r>
        <w:rPr>
          <w:rFonts w:ascii="Arial" w:cs="Arial" w:eastAsia="Arial" w:hAnsi="Arial"/>
          <w:b/>
          <w:bCs/>
          <w:sz w:val="24"/>
          <w:szCs w:val="24"/>
        </w:rPr>
        <w:t xml:space="preserve">8.4 Edge Weight Shape Error in SAGEConv</w:t>
      </w:r>
    </w:p>
    <w:p>
      <w:pPr>
        <w:spacing w:after="80" w:before="80" w:line="276"/>
      </w:pPr>
      <w:r>
        <w:rPr>
          <w:rFonts w:ascii="Arial" w:cs="Arial" w:eastAsia="Arial" w:hAnsi="Arial"/>
          <w:sz w:val="22"/>
          <w:szCs w:val="22"/>
        </w:rPr>
        <w:t xml:space="preserve">Symptom: ValueError: Encountered tensor with size 462 in dimension -2, but expected size 0.612...</w:t>
      </w:r>
    </w:p>
    <w:p>
      <w:pPr>
        <w:spacing w:after="120" w:before="0"/>
      </w:pPr>
      <w:r>
        <w:t xml:space="preserve"/>
      </w:r>
    </w:p>
    <w:p>
      <w:pPr>
        <w:spacing w:after="80" w:before="80" w:line="276"/>
      </w:pPr>
      <w:r>
        <w:rPr>
          <w:rFonts w:ascii="Arial" w:cs="Arial" w:eastAsia="Arial" w:hAnsi="Arial"/>
          <w:sz w:val="22"/>
          <w:szCs w:val="22"/>
        </w:rPr>
        <w:t xml:space="preserve">Cause: SAGEConv's third positional argument is not edge_weight — passing the edge weight tensor as a positional argument caused PyG to interpret it as a node feature matrix, producing a shape mismatch.</w:t>
      </w:r>
    </w:p>
    <w:p>
      <w:pPr>
        <w:spacing w:after="120" w:before="0"/>
      </w:pPr>
      <w:r>
        <w:t xml:space="preserve"/>
      </w:r>
    </w:p>
    <w:p>
      <w:pPr>
        <w:spacing w:after="80" w:before="80" w:line="276"/>
      </w:pPr>
      <w:r>
        <w:rPr>
          <w:rFonts w:ascii="Arial" w:cs="Arial" w:eastAsia="Arial" w:hAnsi="Arial"/>
          <w:sz w:val="22"/>
          <w:szCs w:val="22"/>
        </w:rPr>
        <w:t xml:space="preserve">Fix: removed edge_weight from the SAGEConv call. Edge weights are loaded and stored but not passed to the conv layers in the current implementation. To properly use edge weights in production, SAGEConv must be initialized with aggr='sum' and edge_weight must be passed as a keyword argument.</w:t>
      </w:r>
    </w:p>
    <w:p>
      <w:pPr>
        <w:spacing w:after="120" w:before="0"/>
      </w:pPr>
      <w:r>
        <w:t xml:space="preserve"/>
      </w:r>
    </w:p>
    <w:p>
      <w:pPr>
        <w:pStyle w:val="Heading2"/>
        <w:spacing w:after="100" w:before="280"/>
      </w:pPr>
      <w:r>
        <w:rPr>
          <w:rFonts w:ascii="Arial" w:cs="Arial" w:eastAsia="Arial" w:hAnsi="Arial"/>
          <w:b/>
          <w:bCs/>
          <w:sz w:val="24"/>
          <w:szCs w:val="24"/>
        </w:rPr>
        <w:t xml:space="preserve">8.5 Overfitting with hidden=64</w:t>
      </w:r>
    </w:p>
    <w:p>
      <w:pPr>
        <w:spacing w:after="80" w:before="80" w:line="276"/>
      </w:pPr>
      <w:r>
        <w:rPr>
          <w:rFonts w:ascii="Arial" w:cs="Arial" w:eastAsia="Arial" w:hAnsi="Arial"/>
          <w:sz w:val="22"/>
          <w:szCs w:val="22"/>
        </w:rPr>
        <w:t xml:space="preserve">Symptom: with HIDDEN_CHANNELS=64, val loss began rising at epoch 5 while train loss continued decreasing. Patience counter reached 7/30 by epoch 20.</w:t>
      </w:r>
    </w:p>
    <w:p>
      <w:pPr>
        <w:spacing w:after="120" w:before="0"/>
      </w:pPr>
      <w:r>
        <w:t xml:space="preserve"/>
      </w:r>
    </w:p>
    <w:p>
      <w:pPr>
        <w:spacing w:after="80" w:before="80" w:line="276"/>
      </w:pPr>
      <w:r>
        <w:rPr>
          <w:rFonts w:ascii="Arial" w:cs="Arial" w:eastAsia="Arial" w:hAnsi="Arial"/>
          <w:sz w:val="22"/>
          <w:szCs w:val="22"/>
        </w:rPr>
        <w:t xml:space="preserve">Fix: reduced HIDDEN_CHANNELS from 64 to 32. With the smaller model, val loss continued decreasing through epoch 30+ and patience counter stayed near 0, indicating genuine continued learning rather than memorization.</w:t>
      </w:r>
    </w:p>
    <w:p>
      <w:pPr>
        <w:spacing w:after="120" w:before="0"/>
      </w:pPr>
      <w:r>
        <w:t xml:space="preserve"/>
      </w:r>
    </w:p>
    <w:p>
      <w:pPr>
        <w:pStyle w:val="Heading2"/>
        <w:spacing w:after="100" w:before="280"/>
      </w:pPr>
      <w:r>
        <w:rPr>
          <w:rFonts w:ascii="Arial" w:cs="Arial" w:eastAsia="Arial" w:hAnsi="Arial"/>
          <w:b/>
          <w:bCs/>
          <w:sz w:val="24"/>
          <w:szCs w:val="24"/>
        </w:rPr>
        <w:t xml:space="preserve">8.6 Train/Val/Test Split Mismatch Between Notebooks</w:t>
      </w:r>
    </w:p>
    <w:p>
      <w:pPr>
        <w:spacing w:after="80" w:before="80" w:line="276"/>
      </w:pPr>
      <w:r>
        <w:rPr>
          <w:rFonts w:ascii="Arial" w:cs="Arial" w:eastAsia="Arial" w:hAnsi="Arial"/>
          <w:sz w:val="22"/>
          <w:szCs w:val="22"/>
        </w:rPr>
        <w:t xml:space="preserve">Symptom: graph_builder.ipynb was run with TRAIN_END=2023-01-01 / VAL_END=2024-01-01 but the original gnn.ipynb had hardcoded split dates of 2021/2022. The saved index files reflected the 2023/2024 split but the GNN was trained using hardcoded 2021/2022 logic.</w:t>
      </w:r>
    </w:p>
    <w:p>
      <w:pPr>
        <w:spacing w:after="120" w:before="0"/>
      </w:pPr>
      <w:r>
        <w:t xml:space="preserve"/>
      </w:r>
    </w:p>
    <w:p>
      <w:pPr>
        <w:spacing w:after="80" w:before="80" w:line="276"/>
      </w:pPr>
      <w:r>
        <w:rPr>
          <w:rFonts w:ascii="Arial" w:cs="Arial" w:eastAsia="Arial" w:hAnsi="Arial"/>
          <w:sz w:val="22"/>
          <w:szCs w:val="22"/>
        </w:rPr>
        <w:t xml:space="preserve">Resolution: the split dates were standardized to 2023/2024 across both notebooks. The GNN loads train_idx.npy, val_idx.npy, test_idx.npy from disk rather than recomputing them, so the correct split is always used as long as graph_builder.ipynb is run first with the desired dates.</w:t>
      </w:r>
    </w:p>
    <w:p>
      <w:pPr>
        <w:pStyle w:val="Heading1"/>
        <w:spacing w:after="120" w:before="360"/>
      </w:pPr>
      <w:r>
        <w:rPr>
          <w:rFonts w:ascii="Arial" w:cs="Arial" w:eastAsia="Arial" w:hAnsi="Arial"/>
          <w:b/>
          <w:bCs/>
          <w:sz w:val="28"/>
          <w:szCs w:val="28"/>
        </w:rPr>
        <w:t xml:space="preserve">9. Results</w:t>
      </w:r>
    </w:p>
    <w:p>
      <w:pPr>
        <w:pStyle w:val="Heading2"/>
        <w:spacing w:after="100" w:before="280"/>
      </w:pPr>
      <w:r>
        <w:rPr>
          <w:rFonts w:ascii="Arial" w:cs="Arial" w:eastAsia="Arial" w:hAnsi="Arial"/>
          <w:b/>
          <w:bCs/>
          <w:sz w:val="24"/>
          <w:szCs w:val="24"/>
        </w:rPr>
        <w:t xml:space="preserve">9.1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w:trPr>
          <w:tblHeader/>
        </w:trPr>
        <w:tc>
          <w:tcPr>
            <w:tcW w:type="dxa" w:w="3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8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MSE</w:t>
            </w:r>
          </w:p>
        </w:tc>
        <w:tc>
          <w:tcPr>
            <w:tcW w:type="dxa" w:w="22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IC (Spearman)</w:t>
            </w:r>
          </w:p>
        </w:tc>
        <w:tc>
          <w:tcPr>
            <w:tcW w:type="dxa" w:w="23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vs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(predict zero)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0.334779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Ridge regression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0.265863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0.4778</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(hidden=32)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0.227033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0.5754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+32.2%</w:t>
            </w:r>
          </w:p>
        </w:tc>
      </w:tr>
    </w:tbl>
    <w:p>
      <w:pPr>
        <w:spacing w:after="120" w:before="0"/>
      </w:pPr>
      <w:r>
        <w:t xml:space="preserve"/>
      </w:r>
    </w:p>
    <w:p>
      <w:pPr>
        <w:pStyle w:val="Heading2"/>
        <w:spacing w:after="100" w:before="280"/>
      </w:pPr>
      <w:r>
        <w:rPr>
          <w:rFonts w:ascii="Arial" w:cs="Arial" w:eastAsia="Arial" w:hAnsi="Arial"/>
          <w:b/>
          <w:bCs/>
          <w:sz w:val="24"/>
          <w:szCs w:val="24"/>
        </w:rPr>
        <w:t xml:space="preserve">9.2 Stress-Period Analysis</w:t>
      </w:r>
    </w:p>
    <w:p>
      <w:pPr>
        <w:spacing w:after="80" w:before="80" w:line="276"/>
      </w:pPr>
      <w:r>
        <w:rPr>
          <w:rFonts w:ascii="Arial" w:cs="Arial" w:eastAsia="Arial" w:hAnsi="Arial"/>
          <w:sz w:val="22"/>
          <w:szCs w:val="22"/>
        </w:rPr>
        <w:t xml:space="preserve">The core hypothesis — that the GNN's advantage over Ridge grows during high-correlation regimes — was confirmed. Timesteps are classified as high-stress if their edge count is in the top tercile (above the 67th percentile of edge counts in the val set).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Regime</w:t>
            </w:r>
          </w:p>
        </w:tc>
        <w:tc>
          <w:tcPr>
            <w:tcW w:type="dxa" w:w="2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GNN IC</w:t>
            </w:r>
          </w:p>
        </w:tc>
        <w:tc>
          <w:tcPr>
            <w:tcW w:type="dxa" w:w="2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Ridge IC</w:t>
            </w:r>
          </w:p>
        </w:tc>
        <w:tc>
          <w:tcPr>
            <w:tcW w:type="dxa" w:w="28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GNN Advantage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periods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0.4771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+0.1036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Low-stress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0.5739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0.4756</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+0.0983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High-stress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0.4803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+0.1143</w:t>
            </w:r>
          </w:p>
        </w:tc>
      </w:tr>
    </w:tbl>
    <w:p>
      <w:pPr>
        <w:spacing w:after="120" w:before="0"/>
      </w:pPr>
      <w:r>
        <w:t xml:space="preserve"/>
      </w:r>
    </w:p>
    <w:p>
      <w:pPr>
        <w:spacing w:after="80" w:before="80" w:line="276"/>
      </w:pPr>
      <w:r>
        <w:rPr>
          <w:rFonts w:ascii="Arial" w:cs="Arial" w:eastAsia="Arial" w:hAnsi="Arial"/>
          <w:sz w:val="22"/>
          <w:szCs w:val="22"/>
        </w:rPr>
        <w:t xml:space="preserve">The GNN's IC advantage is 16% larger during stress periods than calm periods. This is consistent with the volatility spillover mechanism: when the graph is dense and stocks are moving together, neighbor information is more informative and the GNN's message passing provides more incremental value over a per-stock baseline.</w:t>
      </w:r>
    </w:p>
    <w:p>
      <w:pPr>
        <w:spacing w:after="120" w:before="0"/>
      </w:pPr>
      <w:r>
        <w:t xml:space="preserve"/>
      </w:r>
    </w:p>
    <w:p>
      <w:pPr>
        <w:pStyle w:val="Heading2"/>
        <w:spacing w:after="100" w:before="280"/>
      </w:pPr>
      <w:r>
        <w:rPr>
          <w:rFonts w:ascii="Arial" w:cs="Arial" w:eastAsia="Arial" w:hAnsi="Arial"/>
          <w:b/>
          <w:bCs/>
          <w:sz w:val="24"/>
          <w:szCs w:val="24"/>
        </w:rPr>
        <w:t xml:space="preserve">9.3 Calibration</w:t>
      </w:r>
    </w:p>
    <w:p>
      <w:pPr>
        <w:spacing w:after="80" w:before="80" w:line="276"/>
      </w:pPr>
      <w:r>
        <w:rPr>
          <w:rFonts w:ascii="Arial" w:cs="Arial" w:eastAsia="Arial" w:hAnsi="Arial"/>
          <w:sz w:val="22"/>
          <w:szCs w:val="22"/>
        </w:rPr>
        <w:t xml:space="preserve">The rank accuracy by prediction decile plot showed that the model is well-calibrated at the extremes but weak in the middle. Stocks in the bottom prediction decile (D1) had mean actual rank of approximately -0.45; stocks in the top decile (D10) had mean actual rank of approximately +0.60. Deciles D4 through D7 were clustered near zero regardless of prediction.</w:t>
      </w:r>
    </w:p>
    <w:p>
      <w:pPr>
        <w:spacing w:after="120" w:before="0"/>
      </w:pPr>
      <w:r>
        <w:t xml:space="preserve"/>
      </w:r>
    </w:p>
    <w:p>
      <w:pPr>
        <w:spacing w:after="80" w:before="80" w:line="276"/>
      </w:pPr>
      <w:r>
        <w:rPr>
          <w:rFonts w:ascii="Arial" w:cs="Arial" w:eastAsia="Arial" w:hAnsi="Arial"/>
          <w:sz w:val="22"/>
          <w:szCs w:val="22"/>
        </w:rPr>
        <w:t xml:space="preserve">This calibration profile is ideal for a long/short volatility strategy: only trade the top and bottom deciles, ignore everything in between. The model's confidence is best when its predictions are most extreme.</w:t>
      </w:r>
    </w:p>
    <w:p>
      <w:pPr>
        <w:spacing w:after="120" w:before="0"/>
      </w:pPr>
      <w:r>
        <w:t xml:space="preserve"/>
      </w:r>
    </w:p>
    <w:p>
      <w:pPr>
        <w:pStyle w:val="Heading2"/>
        <w:spacing w:after="100" w:before="280"/>
      </w:pPr>
      <w:r>
        <w:rPr>
          <w:rFonts w:ascii="Arial" w:cs="Arial" w:eastAsia="Arial" w:hAnsi="Arial"/>
          <w:b/>
          <w:bCs/>
          <w:sz w:val="24"/>
          <w:szCs w:val="24"/>
        </w:rPr>
        <w:t xml:space="preserve">9.4 Individual Stock Analysis — NVDA</w:t>
      </w:r>
    </w:p>
    <w:p>
      <w:pPr>
        <w:spacing w:after="80" w:before="80" w:line="276"/>
      </w:pPr>
      <w:r>
        <w:rPr>
          <w:rFonts w:ascii="Arial" w:cs="Arial" w:eastAsia="Arial" w:hAnsi="Arial"/>
          <w:sz w:val="22"/>
          <w:szCs w:val="22"/>
        </w:rPr>
        <w:t xml:space="preserve">NVDA was examined as a case study on the test set. The model assigned NVDA a vol rank near 0.8-1.0 throughout most of the test period, correctly identifying it as one of the most volatile S&amp;P 500 components during 2024-2025 — consistent with the AI hype cycle driving large daily price swings. The model tracked a sharp mid-period dip in vol rank closely. One notable miss occurred late in the test period, where actual volatility compressed faster than the model expected, likely because the model's rolling features were slow to register the regime change.</w:t>
      </w:r>
    </w:p>
    <w:p>
      <w:pPr>
        <w:pStyle w:val="Heading1"/>
        <w:spacing w:after="120" w:before="360"/>
      </w:pPr>
      <w:r>
        <w:rPr>
          <w:rFonts w:ascii="Arial" w:cs="Arial" w:eastAsia="Arial" w:hAnsi="Arial"/>
          <w:b/>
          <w:bCs/>
          <w:sz w:val="28"/>
          <w:szCs w:val="28"/>
        </w:rPr>
        <w:t xml:space="preserve">10. File Structure</w:t>
      </w:r>
    </w:p>
    <w:p>
      <w:pPr>
        <w:pStyle w:val="Heading2"/>
        <w:spacing w:after="100" w:before="280"/>
      </w:pPr>
      <w:r>
        <w:rPr>
          <w:rFonts w:ascii="Arial" w:cs="Arial" w:eastAsia="Arial" w:hAnsi="Arial"/>
          <w:b/>
          <w:bCs/>
          <w:sz w:val="24"/>
          <w:szCs w:val="24"/>
        </w:rPr>
        <w:t xml:space="preserve">10.1 Notebooks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860"/>
      </w:tblGrid>
      <w:tr>
        <w:trPr>
          <w:tblHeader/>
        </w:trPr>
        <w:tc>
          <w:tcPr>
            <w:tcW w:type="dxa" w:w="2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40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18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create_dataset.ipynb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and cleans OHLCV data from Yahoo Finance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features.ipynb</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Builds 15 features, runs IC diagnostic, saves normalized tensor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graph_builder.ipynb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rolling correlation graphs, computes train/val/test split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gnn.ipynb</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Defines and trains GraphSAGE model, evaluates on val set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exploration.ipynb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saved model and data, provides interactive exploration tools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bl>
    <w:p>
      <w:pPr>
        <w:spacing w:after="120" w:before="0"/>
      </w:pPr>
      <w:r>
        <w:t xml:space="preserve"/>
      </w:r>
    </w:p>
    <w:p>
      <w:pPr>
        <w:pStyle w:val="Heading2"/>
        <w:spacing w:after="100" w:before="280"/>
      </w:pPr>
      <w:r>
        <w:rPr>
          <w:rFonts w:ascii="Arial" w:cs="Arial" w:eastAsia="Arial" w:hAnsi="Arial"/>
          <w:b/>
          <w:bCs/>
          <w:sz w:val="24"/>
          <w:szCs w:val="24"/>
        </w:rPr>
        <w:t xml:space="preserve">10.2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50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Shape / Size</w:t>
            </w:r>
          </w:p>
        </w:tc>
        <w:tc>
          <w:tcPr>
            <w:tcW w:type="dxa" w:w="3360"/>
            <w:tcBorders>
              <w:top w:val="single" w:color="333333" w:sz="1"/>
              <w:left w:val="single" w:color="333333" w:sz="1"/>
              <w:bottom w:val="single" w:color="333333" w:sz="1"/>
              <w:right w:val="single" w:color="33333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data/ohlcv_raw.parquet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(2765, 2515)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OHLCV download, cached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data/log_returns.csv</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(2764, 462)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log returns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data/close.csv / open / high / low /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(2764, 462)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OHLCV series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data/sector_map.csv</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GICS sector per ticker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data/processed/features.npy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(2003, 462, 15)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feature tensor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data/processed/targets_ranked.npy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(2003, 462)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Cross-sectional ranked 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data/processed/targets_raw.npy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(2003, 462)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realized volatility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data/processed/edge_indices.npy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(2003,) object array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Per-timestep edge index arrays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data/processed/edge_weights.npy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 object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Per-timestep edge weight arrays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data/processed/train_idx.npy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(~1980,)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Training timestep indices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data/processed/val_idx.npy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timestep indices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data/processed/test_idx.npy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timestep indices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data/processed/dates.csv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Aligned date index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data/processed/tickers.csv</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Ticker list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data/processed/feature_names.csv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name list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models/stock_gnn_best.pt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~50KB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model weights by val loss</w:t>
            </w:r>
          </w:p>
        </w:tc>
      </w:tr>
    </w:tbl>
    <w:p>
      <w:pPr>
        <w:spacing w:after="120" w:before="0"/>
      </w:pPr>
      <w:r>
        <w:t xml:space="preserve"/>
      </w:r>
    </w:p>
    <w:p>
      <w:pPr>
        <w:pStyle w:val="Heading1"/>
        <w:spacing w:after="120" w:before="360"/>
      </w:pPr>
      <w:r>
        <w:rPr>
          <w:rFonts w:ascii="Arial" w:cs="Arial" w:eastAsia="Arial" w:hAnsi="Arial"/>
          <w:b/>
          <w:bCs/>
          <w:sz w:val="28"/>
          <w:szCs w:val="28"/>
        </w:rPr>
        <w:t xml:space="preserve">11. Recommendations for Production Build</w:t>
      </w:r>
    </w:p>
    <w:p>
      <w:pPr>
        <w:pStyle w:val="Heading2"/>
        <w:spacing w:after="100" w:before="280"/>
      </w:pPr>
      <w:r>
        <w:rPr>
          <w:rFonts w:ascii="Arial" w:cs="Arial" w:eastAsia="Arial" w:hAnsi="Arial"/>
          <w:b/>
          <w:bCs/>
          <w:sz w:val="24"/>
          <w:szCs w:val="24"/>
        </w:rPr>
        <w:t xml:space="preserve">11.1 High Priority</w:t>
      </w:r>
    </w:p>
    <w:p>
      <w:pPr>
        <w:pStyle w:val="ListParagraph"/>
        <w:numPr>
          <w:ilvl w:val="0"/>
          <w:numId w:val="2"/>
        </w:numPr>
        <w:spacing w:after="60" w:before="60" w:line="276"/>
      </w:pPr>
      <w:r>
        <w:rPr>
          <w:rFonts w:ascii="Arial" w:cs="Arial" w:eastAsia="Arial" w:hAnsi="Arial"/>
          <w:sz w:val="22"/>
          <w:szCs w:val="22"/>
        </w:rPr>
        <w:t xml:space="preserve">Fix edge weight passthrough. Switch SAGEConv to aggr='sum' and pass edge_weight as a keyword argument. This is the single most impactful change — the model currently ignores correlation strength and treats all neighbors equally.</w:t>
      </w:r>
    </w:p>
    <w:p>
      <w:pPr>
        <w:pStyle w:val="ListParagraph"/>
        <w:numPr>
          <w:ilvl w:val="0"/>
          <w:numId w:val="2"/>
        </w:numPr>
        <w:spacing w:after="60" w:before="60" w:line="276"/>
      </w:pPr>
      <w:r>
        <w:rPr>
          <w:rFonts w:ascii="Arial" w:cs="Arial" w:eastAsia="Arial" w:hAnsi="Arial"/>
          <w:sz w:val="22"/>
          <w:szCs w:val="22"/>
        </w:rPr>
        <w:t xml:space="preserve">Raise correlation threshold to 0.65. The current threshold of 0.5 produces nearly fully-connected graphs during stress periods, making degree uninformative. A higher threshold would preserve meaningful hub structure even during crises.</w:t>
      </w:r>
    </w:p>
    <w:p>
      <w:pPr>
        <w:pStyle w:val="ListParagraph"/>
        <w:numPr>
          <w:ilvl w:val="0"/>
          <w:numId w:val="2"/>
        </w:numPr>
        <w:spacing w:after="60" w:before="60" w:line="276"/>
      </w:pPr>
      <w:r>
        <w:rPr>
          <w:rFonts w:ascii="Arial" w:cs="Arial" w:eastAsia="Arial" w:hAnsi="Arial"/>
          <w:sz w:val="22"/>
          <w:szCs w:val="22"/>
        </w:rPr>
        <w:t xml:space="preserve">Add roll_std_60 to the feature set. The IC diagnostic shows roll_std_20 is the strongest feature. A 60-day volatility feature would provide a longer-horizon complement and is trivially cheap to compute.</w:t>
      </w:r>
    </w:p>
    <w:p>
      <w:pPr>
        <w:spacing w:after="120" w:before="0"/>
      </w:pPr>
      <w:r>
        <w:t xml:space="preserve"/>
      </w:r>
    </w:p>
    <w:p>
      <w:pPr>
        <w:pStyle w:val="Heading2"/>
        <w:spacing w:after="100" w:before="280"/>
      </w:pPr>
      <w:r>
        <w:rPr>
          <w:rFonts w:ascii="Arial" w:cs="Arial" w:eastAsia="Arial" w:hAnsi="Arial"/>
          <w:b/>
          <w:bCs/>
          <w:sz w:val="24"/>
          <w:szCs w:val="24"/>
        </w:rPr>
        <w:t xml:space="preserve">11.2 Medium Priority</w:t>
      </w:r>
    </w:p>
    <w:p>
      <w:pPr>
        <w:pStyle w:val="ListParagraph"/>
        <w:numPr>
          <w:ilvl w:val="0"/>
          <w:numId w:val="2"/>
        </w:numPr>
        <w:spacing w:after="60" w:before="60" w:line="276"/>
      </w:pPr>
      <w:r>
        <w:rPr>
          <w:rFonts w:ascii="Arial" w:cs="Arial" w:eastAsia="Arial" w:hAnsi="Arial"/>
          <w:sz w:val="22"/>
          <w:szCs w:val="22"/>
        </w:rPr>
        <w:t xml:space="preserve">Add GARCH baseline. The memo identified GARCH as the industry-standard volatility model and the most credible comparison for the GNN. The current baseline is Ridge regression, which is weaker. A per-stock GARCH(1,1) baseline would make the GNN comparison more meaningful.</w:t>
      </w:r>
    </w:p>
    <w:p>
      <w:pPr>
        <w:pStyle w:val="ListParagraph"/>
        <w:numPr>
          <w:ilvl w:val="0"/>
          <w:numId w:val="2"/>
        </w:numPr>
        <w:spacing w:after="60" w:before="60" w:line="276"/>
      </w:pPr>
      <w:r>
        <w:rPr>
          <w:rFonts w:ascii="Arial" w:cs="Arial" w:eastAsia="Arial" w:hAnsi="Arial"/>
          <w:sz w:val="22"/>
          <w:szCs w:val="22"/>
        </w:rPr>
        <w:t xml:space="preserve">Implement proper batching. The current training loop processes one graph per forward pass. Mini-batching using PyG's DataLoader would significantly speed up training and enable larger hidden dimensions.</w:t>
      </w:r>
    </w:p>
    <w:p>
      <w:pPr>
        <w:pStyle w:val="ListParagraph"/>
        <w:numPr>
          <w:ilvl w:val="0"/>
          <w:numId w:val="2"/>
        </w:numPr>
        <w:spacing w:after="60" w:before="60" w:line="276"/>
      </w:pPr>
      <w:r>
        <w:rPr>
          <w:rFonts w:ascii="Arial" w:cs="Arial" w:eastAsia="Arial" w:hAnsi="Arial"/>
          <w:sz w:val="22"/>
          <w:szCs w:val="22"/>
        </w:rPr>
        <w:t xml:space="preserve">Sector-aware features. The sector_map.csv file is generated but never used. Adding sector mean volatility as a feature would capture industry-level clustering effects without requiring more complex architecture.</w:t>
      </w:r>
    </w:p>
    <w:p>
      <w:pPr>
        <w:spacing w:after="120" w:before="0"/>
      </w:pPr>
      <w:r>
        <w:t xml:space="preserve"/>
      </w:r>
    </w:p>
    <w:p>
      <w:pPr>
        <w:pStyle w:val="Heading2"/>
        <w:spacing w:after="100" w:before="280"/>
      </w:pPr>
      <w:r>
        <w:rPr>
          <w:rFonts w:ascii="Arial" w:cs="Arial" w:eastAsia="Arial" w:hAnsi="Arial"/>
          <w:b/>
          <w:bCs/>
          <w:sz w:val="24"/>
          <w:szCs w:val="24"/>
        </w:rPr>
        <w:t xml:space="preserve">11.3 Low Priority / Experiments</w:t>
      </w:r>
    </w:p>
    <w:p>
      <w:pPr>
        <w:pStyle w:val="ListParagraph"/>
        <w:numPr>
          <w:ilvl w:val="0"/>
          <w:numId w:val="2"/>
        </w:numPr>
        <w:spacing w:after="60" w:before="60" w:line="276"/>
      </w:pPr>
      <w:r>
        <w:rPr>
          <w:rFonts w:ascii="Arial" w:cs="Arial" w:eastAsia="Arial" w:hAnsi="Arial"/>
          <w:sz w:val="22"/>
          <w:szCs w:val="22"/>
        </w:rPr>
        <w:t xml:space="preserve">Temporal graph construction. The current graph is rebuilt independently at each timestep. An exponentially weighted correlation that gives more weight to recent observations would produce smoother graphs and capture regime changes faster.</w:t>
      </w:r>
    </w:p>
    <w:p>
      <w:pPr>
        <w:pStyle w:val="ListParagraph"/>
        <w:numPr>
          <w:ilvl w:val="0"/>
          <w:numId w:val="2"/>
        </w:numPr>
        <w:spacing w:after="60" w:before="60" w:line="276"/>
      </w:pPr>
      <w:r>
        <w:rPr>
          <w:rFonts w:ascii="Arial" w:cs="Arial" w:eastAsia="Arial" w:hAnsi="Arial"/>
          <w:sz w:val="22"/>
          <w:szCs w:val="22"/>
        </w:rPr>
        <w:t xml:space="preserve">Attention aggregation. Replace SAGEConv mean aggregation with a GAT (Graph Attention Network) layer so the model can learn which neighbors are most informative rather than treating all edges equally.</w:t>
      </w:r>
    </w:p>
    <w:p>
      <w:pPr>
        <w:pStyle w:val="ListParagraph"/>
        <w:numPr>
          <w:ilvl w:val="0"/>
          <w:numId w:val="2"/>
        </w:numPr>
        <w:spacing w:after="60" w:before="60" w:line="276"/>
      </w:pPr>
      <w:r>
        <w:rPr>
          <w:rFonts w:ascii="Arial" w:cs="Arial" w:eastAsia="Arial" w:hAnsi="Arial"/>
          <w:sz w:val="22"/>
          <w:szCs w:val="22"/>
        </w:rPr>
        <w:t xml:space="preserve">Sharpe ratio of long/short vol portfolio. The ultimate test of the model is not IC but risk-adjusted returns from a strategy that goes long low-vol stocks and short high-vol stocks. This requires the raw volatility predictions (targets_raw.npy) and a transaction cost model.</w:t>
      </w:r>
    </w:p>
    <w:p>
      <w:pPr>
        <w:pStyle w:val="ListParagraph"/>
        <w:numPr>
          <w:ilvl w:val="0"/>
          <w:numId w:val="2"/>
        </w:numPr>
        <w:spacing w:after="60" w:before="60" w:line="276"/>
      </w:pPr>
      <w:r>
        <w:rPr>
          <w:rFonts w:ascii="Arial" w:cs="Arial" w:eastAsia="Arial" w:hAnsi="Arial"/>
          <w:sz w:val="22"/>
          <w:szCs w:val="22"/>
        </w:rPr>
        <w:t xml:space="preserve">Dynamic threshold. Instead of a fixed 0.5 correlation threshold, use a percentile-based threshold that keeps the graph at a fixed density (e.g., top 5% of all pairs by correlation). This would make the graph structure more stable across market regimes.</w:t>
      </w:r>
    </w:p>
    <w:p>
      <w:pPr>
        <w:pStyle w:val="Heading1"/>
        <w:spacing w:after="120" w:before="360"/>
      </w:pPr>
      <w:r>
        <w:rPr>
          <w:rFonts w:ascii="Arial" w:cs="Arial" w:eastAsia="Arial" w:hAnsi="Arial"/>
          <w:b/>
          <w:bCs/>
          <w:sz w:val="28"/>
          <w:szCs w:val="28"/>
        </w:rPr>
        <w:t xml:space="preserve">12. Known Limitations of the Draft</w:t>
      </w:r>
    </w:p>
    <w:p>
      <w:pPr>
        <w:pStyle w:val="ListParagraph"/>
        <w:numPr>
          <w:ilvl w:val="0"/>
          <w:numId w:val="2"/>
        </w:numPr>
        <w:spacing w:after="60" w:before="60" w:line="276"/>
      </w:pPr>
      <w:r>
        <w:rPr>
          <w:rFonts w:ascii="Arial" w:cs="Arial" w:eastAsia="Arial" w:hAnsi="Arial"/>
          <w:sz w:val="22"/>
          <w:szCs w:val="22"/>
        </w:rPr>
        <w:t xml:space="preserve">The code is not modular. Each notebook is a single script with no functions, classes, or shared utilities beyond the inline helpers. The production build should extract the model definition, data loading, and graph construction into importable modules.</w:t>
      </w:r>
    </w:p>
    <w:p>
      <w:pPr>
        <w:pStyle w:val="ListParagraph"/>
        <w:numPr>
          <w:ilvl w:val="0"/>
          <w:numId w:val="2"/>
        </w:numPr>
        <w:spacing w:after="60" w:before="60" w:line="276"/>
      </w:pPr>
      <w:r>
        <w:rPr>
          <w:rFonts w:ascii="Arial" w:cs="Arial" w:eastAsia="Arial" w:hAnsi="Arial"/>
          <w:sz w:val="22"/>
          <w:szCs w:val="22"/>
        </w:rPr>
        <w:t xml:space="preserve">No reproducibility control. Random seeds are not set in the training loop. Results will vary slightly across runs due to dropout stochasticity and Adam's non-determinism on GPU.</w:t>
      </w:r>
    </w:p>
    <w:p>
      <w:pPr>
        <w:pStyle w:val="ListParagraph"/>
        <w:numPr>
          <w:ilvl w:val="0"/>
          <w:numId w:val="2"/>
        </w:numPr>
        <w:spacing w:after="60" w:before="60" w:line="276"/>
      </w:pPr>
      <w:r>
        <w:rPr>
          <w:rFonts w:ascii="Arial" w:cs="Arial" w:eastAsia="Arial" w:hAnsi="Arial"/>
          <w:sz w:val="22"/>
          <w:szCs w:val="22"/>
        </w:rPr>
        <w:t xml:space="preserve">The exploration notebook hardcodes NVDA as the default stock and 2023-06-15 as the default date for the ego-network visualization. These should be parameterized.</w:t>
      </w:r>
    </w:p>
    <w:p>
      <w:pPr>
        <w:pStyle w:val="ListParagraph"/>
        <w:numPr>
          <w:ilvl w:val="0"/>
          <w:numId w:val="2"/>
        </w:numPr>
        <w:spacing w:after="60" w:before="60" w:line="276"/>
      </w:pPr>
      <w:r>
        <w:rPr>
          <w:rFonts w:ascii="Arial" w:cs="Arial" w:eastAsia="Arial" w:hAnsi="Arial"/>
          <w:sz w:val="22"/>
          <w:szCs w:val="22"/>
        </w:rPr>
        <w:t xml:space="preserve">The Ridge regression in the exploration notebook is retrained from scratch each time the stress-period cell is run. It should be saved to disk alongside the GNN weights.</w:t>
      </w:r>
    </w:p>
    <w:p>
      <w:pPr>
        <w:pStyle w:val="ListParagraph"/>
        <w:numPr>
          <w:ilvl w:val="0"/>
          <w:numId w:val="2"/>
        </w:numPr>
        <w:spacing w:after="60" w:before="60" w:line="276"/>
      </w:pPr>
      <w:r>
        <w:rPr>
          <w:rFonts w:ascii="Arial" w:cs="Arial" w:eastAsia="Arial" w:hAnsi="Arial"/>
          <w:sz w:val="22"/>
          <w:szCs w:val="22"/>
        </w:rPr>
        <w:t xml:space="preserve">Feature names are saved to CSV but the column is sometimes named '0' and sometimes unnamed depending on pandas version. This caused a recurring KeyError that was fixed with .iloc[:, 0] but should be fixed properly by naming the series explicitly before saving: pd.Series(feature_names, name='feature').to_csv(...).</w:t>
      </w:r>
    </w:p>
    <w:p>
      <w:pPr>
        <w:pStyle w:val="ListParagraph"/>
        <w:numPr>
          <w:ilvl w:val="0"/>
          <w:numId w:val="2"/>
        </w:numPr>
        <w:spacing w:after="60" w:before="60" w:line="276"/>
      </w:pPr>
      <w:r>
        <w:rPr>
          <w:rFonts w:ascii="Arial" w:cs="Arial" w:eastAsia="Arial" w:hAnsi="Arial"/>
          <w:sz w:val="22"/>
          <w:szCs w:val="22"/>
        </w:rPr>
        <w:t xml:space="preserve">The target uses a 20-day forward window (next-month vol). The last 20 rows of the feature/target aligned tensor are therefore dropped because the target cannot be computed without look-ahead. In a live system, predictions are made on the most recent available features and evaluated 20 days later.</w:t>
      </w:r>
    </w:p>
    <w:p>
      <w:pPr>
        <w:spacing w:after="120" w:before="0"/>
      </w:pPr>
      <w:r>
        <w:t xml:space="preserve"/>
      </w:r>
    </w:p>
    <w:p>
      <w:pPr>
        <w:pBdr>
          <w:bottom w:val="single" w:color="CCCCCC" w:sz="4" w:space="1"/>
        </w:pBdr>
        <w:spacing w:after="160" w:before="160"/>
      </w:pPr>
      <w:r>
        <w:t xml:space="preserve"/>
      </w:r>
    </w:p>
    <w:p>
      <w:pPr>
        <w:spacing w:after="0" w:before="120"/>
        <w:jc w:val="center"/>
      </w:pPr>
      <w:r>
        <w:rPr>
          <w:rFonts w:ascii="Arial" w:cs="Arial" w:eastAsia="Arial" w:hAnsi="Arial"/>
          <w:color w:val="888888"/>
          <w:sz w:val="18"/>
          <w:szCs w:val="18"/>
        </w:rPr>
        <w:t xml:space="preserve">End of draft phase memo  —  SP500 GNN Project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SP500 GNN — Draft Phase Memo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2026-04-08T17:50:59.127Z</dcterms:created>
  <dcterms:modified xsi:type="dcterms:W3CDTF">2026-04-08T17:50:59.128Z</dcterms:modified>
</cp:coreProperties>
</file>

<file path=docProps/custom.xml><?xml version="1.0" encoding="utf-8"?>
<Properties xmlns="http://schemas.openxmlformats.org/officeDocument/2006/custom-properties" xmlns:vt="http://schemas.openxmlformats.org/officeDocument/2006/docPropsVTypes"/>
</file>