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40"/>
      </w:pPr>
      <w:r>
        <w:rPr>
          <w:rFonts w:ascii="Aptos" w:hAnsi="Aptos"/>
          <w:b/>
          <w:color w:val="248A84"/>
          <w:sz w:val="22"/>
        </w:rPr>
        <w:t>NYVORA</w:t>
      </w:r>
    </w:p>
    <w:p>
      <w:pPr>
        <w:spacing w:after="80"/>
      </w:pPr>
      <w:r>
        <w:rPr>
          <w:rFonts w:ascii="Aptos Display" w:hAnsi="Aptos Display"/>
          <w:b/>
          <w:color w:val="14213D"/>
          <w:sz w:val="60"/>
        </w:rPr>
        <w:t>Architectural Baseline</w:t>
      </w:r>
    </w:p>
    <w:p>
      <w:pPr>
        <w:spacing w:after="440"/>
      </w:pPr>
      <w:r>
        <w:rPr>
          <w:rFonts w:ascii="Aptos" w:hAnsi="Aptos"/>
          <w:color w:val="1F5A94"/>
          <w:sz w:val="28"/>
        </w:rPr>
        <w:t>Policy-governed autonomous operations across personal infrastructure</w:t>
      </w:r>
    </w:p>
    <w:p>
      <w:pPr>
        <w:pStyle w:val="NyvoraMetadata"/>
      </w:pPr>
      <w:r>
        <w:rPr>
          <w:rFonts w:ascii="Aptos" w:hAnsi="Aptos"/>
          <w:b/>
          <w:color w:val="5E6873"/>
          <w:sz w:val="19"/>
        </w:rPr>
        <w:t xml:space="preserve">Baseline ID: </w:t>
      </w:r>
      <w:r>
        <w:rPr>
          <w:rFonts w:ascii="Aptos" w:hAnsi="Aptos"/>
          <w:color w:val="1E252B"/>
          <w:sz w:val="19"/>
        </w:rPr>
        <w:t>NYV-AB-2026-01</w:t>
      </w:r>
    </w:p>
    <w:p>
      <w:pPr>
        <w:pStyle w:val="NyvoraMetadata"/>
      </w:pPr>
      <w:r>
        <w:rPr>
          <w:rFonts w:ascii="Aptos" w:hAnsi="Aptos"/>
          <w:b/>
          <w:color w:val="5E6873"/>
          <w:sz w:val="19"/>
        </w:rPr>
        <w:t xml:space="preserve">Version: </w:t>
      </w:r>
      <w:r>
        <w:rPr>
          <w:rFonts w:ascii="Aptos" w:hAnsi="Aptos"/>
          <w:color w:val="1E252B"/>
          <w:sz w:val="19"/>
        </w:rPr>
        <w:t>1.0.1 · Adopted corrected edition</w:t>
      </w:r>
    </w:p>
    <w:p>
      <w:pPr>
        <w:pStyle w:val="NyvoraMetadata"/>
      </w:pPr>
      <w:r>
        <w:rPr>
          <w:rFonts w:ascii="Aptos" w:hAnsi="Aptos"/>
          <w:b/>
          <w:color w:val="5E6873"/>
          <w:sz w:val="19"/>
        </w:rPr>
        <w:t xml:space="preserve">Owner: </w:t>
      </w:r>
      <w:r>
        <w:rPr>
          <w:rFonts w:ascii="Aptos" w:hAnsi="Aptos"/>
          <w:color w:val="1E252B"/>
          <w:sz w:val="19"/>
        </w:rPr>
        <w:t>Vahid (canonical ID: vahid)</w:t>
      </w:r>
    </w:p>
    <w:p>
      <w:pPr>
        <w:pStyle w:val="NyvoraMetadata"/>
      </w:pPr>
      <w:r>
        <w:rPr>
          <w:rFonts w:ascii="Aptos" w:hAnsi="Aptos"/>
          <w:b/>
          <w:color w:val="5E6873"/>
          <w:sz w:val="19"/>
        </w:rPr>
        <w:t xml:space="preserve">Date: </w:t>
      </w:r>
      <w:r>
        <w:rPr>
          <w:rFonts w:ascii="Aptos" w:hAnsi="Aptos"/>
          <w:color w:val="1E252B"/>
          <w:sz w:val="19"/>
        </w:rPr>
        <w:t>30 August 2026</w:t>
      </w:r>
    </w:p>
    <w:p>
      <w:pPr>
        <w:pStyle w:val="NyvoraMetadata"/>
      </w:pPr>
      <w:r>
        <w:rPr>
          <w:rFonts w:ascii="Aptos" w:hAnsi="Aptos"/>
          <w:b/>
          <w:color w:val="5E6873"/>
          <w:sz w:val="19"/>
        </w:rPr>
        <w:t xml:space="preserve">Acceptance class: </w:t>
      </w:r>
      <w:r>
        <w:rPr>
          <w:rFonts w:ascii="Aptos" w:hAnsi="Aptos"/>
          <w:color w:val="1E252B"/>
          <w:sz w:val="19"/>
        </w:rPr>
        <w:t>Adopted architecture baseline · no live implementation claim</w:t>
      </w:r>
    </w:p>
    <w:p>
      <w:pPr>
        <w:spacing w:before="360" w:after="280"/>
        <w:pBdr>
          <w:bottom w:val="single" w:sz="18" w:space="8" w:color="248A84"/>
        </w:pBdr>
      </w:pPr>
    </w:p>
    <w:p>
      <w:pPr>
        <w:pStyle w:val="NyvoraCallout"/>
        <w:shd w:fill="DDF3F1"/>
        <w:keepLines/>
        <w:pBdr>
          <w:left w:val="single" w:sz="18" w:space="8" w:color="248A84"/>
        </w:pBdr>
      </w:pPr>
      <w:r>
        <w:rPr>
          <w:rFonts w:ascii="Aptos" w:hAnsi="Aptos"/>
          <w:b/>
          <w:color w:val="248A84"/>
          <w:sz w:val="18"/>
        </w:rPr>
        <w:t xml:space="preserve">ARCHITECTURE THESIS  </w:t>
      </w:r>
      <w:r>
        <w:rPr>
          <w:rFonts w:ascii="Aptos" w:hAnsi="Aptos"/>
          <w:color w:val="1E252B"/>
          <w:sz w:val="21"/>
        </w:rPr>
        <w:t>Nyvora is a low-touch autonomous operations system. GitHub defines durable desired state; ASUS and VPS provide always-on coordination and continuity; the Mac remains the owner's high-trust console. Every mutation is policy-bound, reversible when possible, and evidenced.</w:t>
      </w:r>
    </w:p>
    <w:p>
      <w:pPr/>
      <w:r>
        <w:rPr>
          <w:rFonts w:ascii="Aptos" w:hAnsi="Aptos"/>
          <w:color w:val="1E252B"/>
        </w:rPr>
        <w:t>This package converts the completed 19-question architecture interview into a formal baseline. It is intentionally implementation-ready but technology-selective only where the decision materially affects safety or coherence.</w:t>
      </w:r>
    </w:p>
    <w:p>
      <w:pPr>
        <w:pStyle w:val="NyvoraCallout"/>
        <w:shd w:fill="F4F6F9"/>
        <w:keepLines/>
        <w:pBdr>
          <w:left w:val="single" w:sz="18" w:space="8" w:color="5E6873"/>
        </w:pBdr>
      </w:pPr>
      <w:r>
        <w:rPr>
          <w:rFonts w:ascii="Aptos" w:hAnsi="Aptos"/>
          <w:b/>
          <w:color w:val="5E6873"/>
          <w:sz w:val="18"/>
        </w:rPr>
        <w:t xml:space="preserve">STATUS  </w:t>
      </w:r>
      <w:r>
        <w:rPr>
          <w:rFonts w:ascii="Aptos" w:hAnsi="Aptos"/>
          <w:color w:val="1E252B"/>
          <w:sz w:val="21"/>
        </w:rPr>
        <w:t>Adopted by owner instruction for repository baseline correction and planning. This package does not claim that any workflow, service, recovery path, or control has been deployed or live-tested.</w:t>
      </w:r>
    </w:p>
    <w:p>
      <w:pPr>
        <w:sectPr>
          <w:pgSz w:w="12240" w:h="15840"/>
          <w:pgMar w:top="1152" w:right="1267" w:bottom="1152" w:left="1267" w:header="504" w:footer="504" w:gutter="0"/>
          <w:cols w:space="720"/>
          <w:titlePg/>
          <w:docGrid w:linePitch="360"/>
        </w:sectPr>
      </w:pPr>
    </w:p>
    <w:p>
      <w:pPr>
        <w:pStyle w:val="Heading1"/>
        <w:keepNext/>
      </w:pPr>
      <w:r>
        <w:t>Document map</w:t>
      </w:r>
    </w:p>
    <w:p>
      <w:pPr/>
      <w:r>
        <w:rPr>
          <w:rFonts w:ascii="Aptos" w:hAnsi="Aptos"/>
          <w:color w:val="1E252B"/>
        </w:rPr>
        <w:t>The package is organized from intent to implementation. Sections 1-7 define the system; sections 8-14 define its operating and safety model; sections 15-18 govern adoption and change.</w:t>
      </w:r>
    </w:p>
    <w:p>
      <w:pPr>
        <w:pStyle w:val="NyvoraList"/>
        <w:numPr>
          <w:ilvl w:val="0"/>
          <w:numId w:val="10"/>
        </w:numPr>
      </w:pPr>
      <w:r>
        <w:rPr>
          <w:rFonts w:ascii="Aptos" w:hAnsi="Aptos"/>
          <w:color w:val="1E252B"/>
        </w:rPr>
        <w:t xml:space="preserve"> 1. Baseline declaration and success criteria</w:t>
      </w:r>
    </w:p>
    <w:p>
      <w:pPr>
        <w:pStyle w:val="NyvoraList"/>
        <w:numPr>
          <w:ilvl w:val="0"/>
          <w:numId w:val="10"/>
        </w:numPr>
      </w:pPr>
      <w:r>
        <w:rPr>
          <w:rFonts w:ascii="Aptos" w:hAnsi="Aptos"/>
          <w:color w:val="1E252B"/>
        </w:rPr>
        <w:t xml:space="preserve"> 2. Scope, non-goals, and architectural principles</w:t>
      </w:r>
    </w:p>
    <w:p>
      <w:pPr>
        <w:pStyle w:val="NyvoraList"/>
        <w:numPr>
          <w:ilvl w:val="0"/>
          <w:numId w:val="10"/>
        </w:numPr>
      </w:pPr>
      <w:r>
        <w:rPr>
          <w:rFonts w:ascii="Aptos" w:hAnsi="Aptos"/>
          <w:color w:val="1E252B"/>
        </w:rPr>
        <w:t xml:space="preserve"> 3. Logical topology and node responsibilities</w:t>
      </w:r>
    </w:p>
    <w:p>
      <w:pPr>
        <w:pStyle w:val="NyvoraList"/>
        <w:numPr>
          <w:ilvl w:val="0"/>
          <w:numId w:val="10"/>
        </w:numPr>
      </w:pPr>
      <w:r>
        <w:rPr>
          <w:rFonts w:ascii="Aptos" w:hAnsi="Aptos"/>
          <w:color w:val="1E252B"/>
        </w:rPr>
        <w:t xml:space="preserve"> 4. Authority, identity, and trust model</w:t>
      </w:r>
    </w:p>
    <w:p>
      <w:pPr>
        <w:pStyle w:val="NyvoraList"/>
        <w:numPr>
          <w:ilvl w:val="0"/>
          <w:numId w:val="10"/>
        </w:numPr>
      </w:pPr>
      <w:r>
        <w:rPr>
          <w:rFonts w:ascii="Aptos" w:hAnsi="Aptos"/>
          <w:color w:val="1E252B"/>
        </w:rPr>
        <w:t xml:space="preserve"> 5. GitHub authoritative-state model and workflows</w:t>
      </w:r>
    </w:p>
    <w:p>
      <w:pPr>
        <w:pStyle w:val="NyvoraList"/>
        <w:numPr>
          <w:ilvl w:val="0"/>
          <w:numId w:val="10"/>
        </w:numPr>
      </w:pPr>
      <w:r>
        <w:rPr>
          <w:rFonts w:ascii="Aptos" w:hAnsi="Aptos"/>
          <w:color w:val="1E252B"/>
        </w:rPr>
        <w:t xml:space="preserve"> 6. Policy-governed autonomous change lifecycle</w:t>
      </w:r>
    </w:p>
    <w:p>
      <w:pPr>
        <w:pStyle w:val="NyvoraList"/>
        <w:numPr>
          <w:ilvl w:val="0"/>
          <w:numId w:val="10"/>
        </w:numPr>
      </w:pPr>
      <w:r>
        <w:rPr>
          <w:rFonts w:ascii="Aptos" w:hAnsi="Aptos"/>
          <w:color w:val="1E252B"/>
        </w:rPr>
        <w:t xml:space="preserve"> 7. Multi-environment execution and isolation</w:t>
      </w:r>
    </w:p>
    <w:p>
      <w:pPr>
        <w:pStyle w:val="NyvoraList"/>
        <w:numPr>
          <w:ilvl w:val="0"/>
          <w:numId w:val="10"/>
        </w:numPr>
      </w:pPr>
      <w:r>
        <w:rPr>
          <w:rFonts w:ascii="Aptos" w:hAnsi="Aptos"/>
          <w:color w:val="1E252B"/>
        </w:rPr>
        <w:t xml:space="preserve"> 8. Runtime state, messaging, and coordination</w:t>
      </w:r>
    </w:p>
    <w:p>
      <w:pPr>
        <w:pStyle w:val="NyvoraList"/>
        <w:numPr>
          <w:ilvl w:val="0"/>
          <w:numId w:val="10"/>
        </w:numPr>
      </w:pPr>
      <w:r>
        <w:rPr>
          <w:rFonts w:ascii="Aptos" w:hAnsi="Aptos"/>
          <w:color w:val="1E252B"/>
        </w:rPr>
        <w:t xml:space="preserve"> 9. Interfaces and operator experience</w:t>
      </w:r>
    </w:p>
    <w:p>
      <w:pPr>
        <w:pStyle w:val="NyvoraList"/>
        <w:numPr>
          <w:ilvl w:val="0"/>
          <w:numId w:val="10"/>
        </w:numPr>
      </w:pPr>
      <w:r>
        <w:rPr>
          <w:rFonts w:ascii="Aptos" w:hAnsi="Aptos"/>
          <w:color w:val="1E252B"/>
        </w:rPr>
        <w:t xml:space="preserve"> 10. Availability, degraded modes, and recovery</w:t>
      </w:r>
    </w:p>
    <w:p>
      <w:pPr>
        <w:pStyle w:val="NyvoraList"/>
        <w:numPr>
          <w:ilvl w:val="0"/>
          <w:numId w:val="10"/>
        </w:numPr>
      </w:pPr>
      <w:r>
        <w:rPr>
          <w:rFonts w:ascii="Aptos" w:hAnsi="Aptos"/>
          <w:color w:val="1E252B"/>
        </w:rPr>
        <w:t xml:space="preserve"> 11. Evidence, auditability, and observability</w:t>
      </w:r>
    </w:p>
    <w:p>
      <w:pPr>
        <w:pStyle w:val="NyvoraList"/>
        <w:numPr>
          <w:ilvl w:val="0"/>
          <w:numId w:val="10"/>
        </w:numPr>
      </w:pPr>
      <w:r>
        <w:rPr>
          <w:rFonts w:ascii="Aptos" w:hAnsi="Aptos"/>
          <w:color w:val="1E252B"/>
        </w:rPr>
        <w:t xml:space="preserve"> 12. Security threat model</w:t>
      </w:r>
    </w:p>
    <w:p>
      <w:pPr>
        <w:pStyle w:val="NyvoraList"/>
        <w:numPr>
          <w:ilvl w:val="0"/>
          <w:numId w:val="10"/>
        </w:numPr>
      </w:pPr>
      <w:r>
        <w:rPr>
          <w:rFonts w:ascii="Aptos" w:hAnsi="Aptos"/>
          <w:color w:val="1E252B"/>
        </w:rPr>
        <w:t xml:space="preserve"> 13. Non-functional requirements and invariants</w:t>
      </w:r>
    </w:p>
    <w:p>
      <w:pPr>
        <w:pStyle w:val="NyvoraList"/>
        <w:numPr>
          <w:ilvl w:val="0"/>
          <w:numId w:val="10"/>
        </w:numPr>
      </w:pPr>
      <w:r>
        <w:rPr>
          <w:rFonts w:ascii="Aptos" w:hAnsi="Aptos"/>
          <w:color w:val="1E252B"/>
        </w:rPr>
        <w:t xml:space="preserve"> 14. Architecture Decision Records</w:t>
      </w:r>
    </w:p>
    <w:p>
      <w:pPr>
        <w:pStyle w:val="NyvoraList"/>
        <w:numPr>
          <w:ilvl w:val="0"/>
          <w:numId w:val="10"/>
        </w:numPr>
      </w:pPr>
      <w:r>
        <w:rPr>
          <w:rFonts w:ascii="Aptos" w:hAnsi="Aptos"/>
          <w:color w:val="1E252B"/>
        </w:rPr>
        <w:t xml:space="preserve"> 15. Relationship to the prior Foundation / NC-M3 plan</w:t>
      </w:r>
    </w:p>
    <w:p>
      <w:pPr>
        <w:pStyle w:val="NyvoraList"/>
        <w:numPr>
          <w:ilvl w:val="0"/>
          <w:numId w:val="10"/>
        </w:numPr>
      </w:pPr>
      <w:r>
        <w:rPr>
          <w:rFonts w:ascii="Aptos" w:hAnsi="Aptos"/>
          <w:color w:val="1E252B"/>
        </w:rPr>
        <w:t xml:space="preserve"> 16. Implementation roadmap</w:t>
      </w:r>
    </w:p>
    <w:p>
      <w:pPr>
        <w:pStyle w:val="NyvoraList"/>
        <w:numPr>
          <w:ilvl w:val="0"/>
          <w:numId w:val="10"/>
        </w:numPr>
      </w:pPr>
      <w:r>
        <w:rPr>
          <w:rFonts w:ascii="Aptos" w:hAnsi="Aptos"/>
          <w:color w:val="1E252B"/>
        </w:rPr>
        <w:t xml:space="preserve"> 17. Architecture acceptance checklist</w:t>
      </w:r>
    </w:p>
    <w:p>
      <w:pPr>
        <w:pStyle w:val="NyvoraList"/>
        <w:numPr>
          <w:ilvl w:val="0"/>
          <w:numId w:val="10"/>
        </w:numPr>
      </w:pPr>
      <w:r>
        <w:rPr>
          <w:rFonts w:ascii="Aptos" w:hAnsi="Aptos"/>
          <w:color w:val="1E252B"/>
        </w:rPr>
        <w:t xml:space="preserve"> 18. Appendices: interview record, action envelope, glossary</w:t>
      </w:r>
    </w:p>
    <w:p>
      <w:pPr>
        <w:pStyle w:val="Heading2"/>
        <w:keepNext/>
      </w:pPr>
      <w:r>
        <w:t>Document authority</w:t>
      </w:r>
    </w:p>
    <w:p>
      <w:pPr/>
      <w:r>
        <w:rPr>
          <w:rFonts w:ascii="Aptos" w:hAnsi="Aptos"/>
          <w:color w:val="1E252B"/>
        </w:rPr>
        <w:t>Adopted by owner instruction on 30 August 2026, this document is the controlling architectural baseline for Nyvora. Repository code, deployment manifests, runbooks, and milestones must conform to it or introduce an approved Architecture Decision Record (ADR) explaining the exception.</w:t>
      </w:r>
    </w:p>
    <w:p>
      <w:pPr/>
      <w:r>
        <w:rPr>
          <w:rFonts w:ascii="Aptos" w:hAnsi="Aptos"/>
          <w:color w:val="1E252B"/>
        </w:rPr>
        <w:t>The baseline is versioned semantically. Editorial clarification increments the patch version; a compatible architectural extension increments the minor version; a change to authority, trust, execution boundaries, or failure semantics increments the major version.</w:t>
      </w:r>
    </w:p>
    <w:p>
      <w:pPr>
        <w:pStyle w:val="Heading1"/>
        <w:keepNext/>
      </w:pPr>
      <w:r>
        <w:t>1. Baseline declaration</w:t>
      </w:r>
    </w:p>
    <w:p>
      <w:pPr>
        <w:pStyle w:val="Heading2"/>
        <w:keepNext/>
      </w:pPr>
      <w:r>
        <w:t>1.1 Purpose</w:t>
      </w:r>
    </w:p>
    <w:p>
      <w:pPr>
        <w:pStyle w:val="NyvoraCallout"/>
        <w:shd w:fill="E8F0F8"/>
        <w:keepLines/>
        <w:pBdr>
          <w:left w:val="single" w:sz="18" w:space="8" w:color="1F5A94"/>
        </w:pBdr>
      </w:pPr>
      <w:r>
        <w:rPr>
          <w:rFonts w:ascii="Aptos" w:hAnsi="Aptos"/>
          <w:b/>
          <w:color w:val="1F5A94"/>
          <w:sz w:val="18"/>
        </w:rPr>
        <w:t xml:space="preserve">PURPOSE  </w:t>
      </w:r>
      <w:r>
        <w:rPr>
          <w:rFonts w:ascii="Aptos" w:hAnsi="Aptos"/>
          <w:color w:val="1E252B"/>
          <w:sz w:val="21"/>
        </w:rPr>
        <w:t>Define Nyvora as a low-touch, policy-governed autonomous operations system capable of software engineering, application operation, infrastructure administration, and incident recovery across multiple environments, while remaining reversible, auditable, and usable during temporary Mac or GitHub unavailability.</w:t>
      </w:r>
    </w:p>
    <w:p>
      <w:pPr>
        <w:pStyle w:val="Heading2"/>
        <w:keepNext/>
      </w:pPr>
      <w:r>
        <w:t>1.2 Primary objective</w:t>
      </w:r>
    </w:p>
    <w:p>
      <w:pPr/>
      <w:r>
        <w:rPr>
          <w:rFonts w:ascii="Aptos" w:hAnsi="Aptos"/>
          <w:color w:val="1E252B"/>
        </w:rPr>
        <w:t>Nyvora shall translate owner intent into controlled system change. It shall do so through a durable desired-state record, explicit policy, bounded machine authority, deterministic validation, declared rollback, and tamper-resistant evidence.</w:t>
      </w:r>
    </w:p>
    <w:p>
      <w:pPr>
        <w:pStyle w:val="Heading2"/>
        <w:keepNext/>
      </w:pPr>
      <w:r>
        <w:t>1.3 Supporting objective</w:t>
      </w:r>
    </w:p>
    <w:p>
      <w:pPr/>
      <w:r>
        <w:rPr>
          <w:rFonts w:ascii="Aptos" w:hAnsi="Aptos"/>
          <w:color w:val="1E252B"/>
        </w:rPr>
        <w:t>Location-independent operation is a supporting objective. Vahid must be able to observe, approve, diagnose, and recover Nyvora from outside the home network without making one relay, one laptop, or one normal access path the sole means of recovery.</w:t>
      </w:r>
    </w:p>
    <w:p>
      <w:pPr>
        <w:pStyle w:val="Heading2"/>
        <w:keepNext/>
      </w:pPr>
      <w:r>
        <w:t>1.4 Definition of success</w:t>
      </w:r>
    </w:p>
    <w:p>
      <w:pPr>
        <w:pStyle w:val="NyvoraList"/>
        <w:numPr>
          <w:ilvl w:val="0"/>
          <w:numId w:val="10"/>
        </w:numPr>
      </w:pPr>
      <w:r>
        <w:rPr>
          <w:rFonts w:ascii="Aptos" w:hAnsi="Aptos"/>
          <w:color w:val="1E252B"/>
        </w:rPr>
        <w:t xml:space="preserve"> The architecture identifies one authoritative source for durable desired state.</w:t>
      </w:r>
    </w:p>
    <w:p>
      <w:pPr>
        <w:pStyle w:val="NyvoraList"/>
        <w:numPr>
          <w:ilvl w:val="0"/>
          <w:numId w:val="10"/>
        </w:numPr>
      </w:pPr>
      <w:r>
        <w:rPr>
          <w:rFonts w:ascii="Aptos" w:hAnsi="Aptos"/>
          <w:color w:val="1E252B"/>
        </w:rPr>
        <w:t xml:space="preserve"> Autonomous actions across all four selected domains have a common control and evidence model.</w:t>
      </w:r>
    </w:p>
    <w:p>
      <w:pPr>
        <w:pStyle w:val="NyvoraList"/>
        <w:numPr>
          <w:ilvl w:val="0"/>
          <w:numId w:val="10"/>
        </w:numPr>
      </w:pPr>
      <w:r>
        <w:rPr>
          <w:rFonts w:ascii="Aptos" w:hAnsi="Aptos"/>
          <w:color w:val="1E252B"/>
        </w:rPr>
        <w:t xml:space="preserve"> Development, testing, and operational environments are explicitly separated.</w:t>
      </w:r>
    </w:p>
    <w:p>
      <w:pPr>
        <w:pStyle w:val="NyvoraList"/>
        <w:numPr>
          <w:ilvl w:val="0"/>
          <w:numId w:val="10"/>
        </w:numPr>
      </w:pPr>
      <w:r>
        <w:rPr>
          <w:rFonts w:ascii="Aptos" w:hAnsi="Aptos"/>
          <w:color w:val="1E252B"/>
        </w:rPr>
        <w:t xml:space="preserve"> Mac absence and GitHub outage have defined, bounded degraded modes.</w:t>
      </w:r>
    </w:p>
    <w:p>
      <w:pPr>
        <w:pStyle w:val="NyvoraList"/>
        <w:numPr>
          <w:ilvl w:val="0"/>
          <w:numId w:val="10"/>
        </w:numPr>
      </w:pPr>
      <w:r>
        <w:rPr>
          <w:rFonts w:ascii="Aptos" w:hAnsi="Aptos"/>
          <w:color w:val="1E252B"/>
        </w:rPr>
        <w:t xml:space="preserve"> The architecture avoids unsafe two-node consensus and implicit authority in databases or message buses.</w:t>
      </w:r>
    </w:p>
    <w:p>
      <w:pPr>
        <w:pStyle w:val="NyvoraList"/>
        <w:numPr>
          <w:ilvl w:val="0"/>
          <w:numId w:val="10"/>
        </w:numPr>
      </w:pPr>
      <w:r>
        <w:rPr>
          <w:rFonts w:ascii="Aptos" w:hAnsi="Aptos"/>
          <w:color w:val="1E252B"/>
        </w:rPr>
        <w:t xml:space="preserve"> Irreversible operations are mechanically recognizable and always require owner approval.</w:t>
      </w:r>
    </w:p>
    <w:p>
      <w:pPr>
        <w:pStyle w:val="NyvoraList"/>
        <w:numPr>
          <w:ilvl w:val="0"/>
          <w:numId w:val="10"/>
        </w:numPr>
      </w:pPr>
      <w:r>
        <w:rPr>
          <w:rFonts w:ascii="Aptos" w:hAnsi="Aptos"/>
          <w:color w:val="1E252B"/>
        </w:rPr>
        <w:t xml:space="preserve"> Implementation can proceed in stages without reopening foundational questions.</w:t>
      </w:r>
    </w:p>
    <w:p>
      <w:pPr>
        <w:pStyle w:val="Heading1"/>
        <w:keepNext/>
      </w:pPr>
      <w:r>
        <w:t>2. Scope, non-goals, and principles</w:t>
      </w:r>
    </w:p>
    <w:p>
      <w:pPr>
        <w:pStyle w:val="Heading2"/>
        <w:keepNext/>
      </w:pPr>
      <w:r>
        <w:t>2.1 In scope</w:t>
      </w:r>
    </w:p>
    <w:tbl>
      <w:tblPr>
        <w:tblStyle w:val="TableGrid"/>
        <w:tblW w:type="dxa" w:w="9360"/>
        <w:tblLayout w:type="fixed"/>
        <w:tblLook w:firstColumn="1" w:firstRow="1" w:lastColumn="0" w:lastRow="0" w:noHBand="0" w:noVBand="1" w:val="04A0"/>
        <w:jc w:val="left"/>
        <w:tblInd w:w="130" w:type="dxa"/>
      </w:tblPr>
      <w:tblGrid>
        <w:gridCol w:w="2200"/>
        <w:gridCol w:w="7160"/>
      </w:tblGrid>
      <w:tr>
        <w:trPr>
          <w:tblHeader w:val="true"/>
          <w:cantSplit/>
        </w:trPr>
        <w:tc>
          <w:tcPr>
            <w:tcW w:type="dxa" w:w="2200"/>
            <w:tcMar>
              <w:top w:w="100" w:type="dxa"/>
              <w:start w:w="130" w:type="dxa"/>
              <w:bottom w:w="100" w:type="dxa"/>
              <w:end w:w="130" w:type="dxa"/>
            </w:tcMar>
            <w:vAlign w:val="center"/>
            <w:shd w:fill="14213D"/>
          </w:tcPr>
          <w:p>
            <w:pPr>
              <w:spacing w:after="0"/>
              <w:jc w:val="left"/>
            </w:pPr>
            <w:r>
              <w:rPr>
                <w:rFonts w:ascii="Aptos" w:hAnsi="Aptos"/>
                <w:b/>
                <w:color w:val="FFFFFF"/>
                <w:sz w:val="16"/>
              </w:rPr>
              <w:t>Domain</w:t>
            </w:r>
          </w:p>
        </w:tc>
        <w:tc>
          <w:tcPr>
            <w:tcW w:type="dxa" w:w="7160"/>
            <w:tcMar>
              <w:top w:w="100" w:type="dxa"/>
              <w:start w:w="130" w:type="dxa"/>
              <w:bottom w:w="100" w:type="dxa"/>
              <w:end w:w="130" w:type="dxa"/>
            </w:tcMar>
            <w:vAlign w:val="center"/>
            <w:shd w:fill="14213D"/>
          </w:tcPr>
          <w:p>
            <w:pPr>
              <w:spacing w:after="0"/>
              <w:jc w:val="left"/>
            </w:pPr>
            <w:r>
              <w:rPr>
                <w:rFonts w:ascii="Aptos" w:hAnsi="Aptos"/>
                <w:b/>
                <w:color w:val="FFFFFF"/>
                <w:sz w:val="16"/>
              </w:rPr>
              <w:t>Baseline coverage</w:t>
            </w:r>
          </w:p>
        </w:tc>
      </w:tr>
      <w:tr>
        <w:trPr>
          <w:cantSplit/>
        </w:trPr>
        <w:tc>
          <w:tcPr>
            <w:tcW w:type="dxa" w:w="2200"/>
            <w:tcMar>
              <w:top w:w="100" w:type="dxa"/>
              <w:start w:w="130" w:type="dxa"/>
              <w:bottom w:w="100" w:type="dxa"/>
              <w:end w:w="130" w:type="dxa"/>
            </w:tcMar>
            <w:vAlign w:val="center"/>
          </w:tcPr>
          <w:p>
            <w:pPr>
              <w:spacing w:after="0" w:line="259" w:lineRule="auto"/>
            </w:pPr>
            <w:r>
              <w:rPr>
                <w:rFonts w:ascii="Aptos" w:hAnsi="Aptos"/>
                <w:color w:val="1E252B"/>
                <w:sz w:val="17"/>
              </w:rPr>
              <w:t>Software engineering</w:t>
            </w:r>
          </w:p>
        </w:tc>
        <w:tc>
          <w:tcPr>
            <w:tcW w:type="dxa" w:w="7160"/>
            <w:tcMar>
              <w:top w:w="100" w:type="dxa"/>
              <w:start w:w="130" w:type="dxa"/>
              <w:bottom w:w="100" w:type="dxa"/>
              <w:end w:w="130" w:type="dxa"/>
            </w:tcMar>
            <w:vAlign w:val="center"/>
          </w:tcPr>
          <w:p>
            <w:pPr>
              <w:spacing w:after="0" w:line="259" w:lineRule="auto"/>
            </w:pPr>
            <w:r>
              <w:rPr>
                <w:rFonts w:ascii="Aptos" w:hAnsi="Aptos"/>
                <w:color w:val="1E252B"/>
                <w:sz w:val="17"/>
              </w:rPr>
              <w:t>Repository changes, testing, branch and release automation, evidence-producing engineering agents.</w:t>
            </w:r>
          </w:p>
        </w:tc>
      </w:tr>
      <w:tr>
        <w:trPr>
          <w:cantSplit/>
        </w:trPr>
        <w:tc>
          <w:tcPr>
            <w:tcW w:type="dxa" w:w="2200"/>
            <w:shd w:fill="F7F9FB"/>
            <w:tcMar>
              <w:top w:w="100" w:type="dxa"/>
              <w:start w:w="130" w:type="dxa"/>
              <w:bottom w:w="100" w:type="dxa"/>
              <w:end w:w="130" w:type="dxa"/>
            </w:tcMar>
            <w:vAlign w:val="center"/>
          </w:tcPr>
          <w:p>
            <w:pPr>
              <w:spacing w:after="0" w:line="259" w:lineRule="auto"/>
            </w:pPr>
            <w:r>
              <w:rPr>
                <w:rFonts w:ascii="Aptos" w:hAnsi="Aptos"/>
                <w:color w:val="1E252B"/>
                <w:sz w:val="17"/>
              </w:rPr>
              <w:t>Application operations</w:t>
            </w:r>
          </w:p>
        </w:tc>
        <w:tc>
          <w:tcPr>
            <w:tcW w:type="dxa" w:w="7160"/>
            <w:shd w:fill="F7F9FB"/>
            <w:tcMar>
              <w:top w:w="100" w:type="dxa"/>
              <w:start w:w="130" w:type="dxa"/>
              <w:bottom w:w="100" w:type="dxa"/>
              <w:end w:w="130" w:type="dxa"/>
            </w:tcMar>
            <w:vAlign w:val="center"/>
          </w:tcPr>
          <w:p>
            <w:pPr>
              <w:spacing w:after="0" w:line="259" w:lineRule="auto"/>
            </w:pPr>
            <w:r>
              <w:rPr>
                <w:rFonts w:ascii="Aptos" w:hAnsi="Aptos"/>
                <w:color w:val="1E252B"/>
                <w:sz w:val="17"/>
              </w:rPr>
              <w:t>Deployment, update, health verification, restart, rollback, scheduling, and drift reconciliation.</w:t>
            </w:r>
          </w:p>
        </w:tc>
      </w:tr>
      <w:tr>
        <w:trPr>
          <w:cantSplit/>
        </w:trPr>
        <w:tc>
          <w:tcPr>
            <w:tcW w:type="dxa" w:w="2200"/>
            <w:tcMar>
              <w:top w:w="100" w:type="dxa"/>
              <w:start w:w="130" w:type="dxa"/>
              <w:bottom w:w="100" w:type="dxa"/>
              <w:end w:w="130" w:type="dxa"/>
            </w:tcMar>
            <w:vAlign w:val="center"/>
          </w:tcPr>
          <w:p>
            <w:pPr>
              <w:spacing w:after="0" w:line="259" w:lineRule="auto"/>
            </w:pPr>
            <w:r>
              <w:rPr>
                <w:rFonts w:ascii="Aptos" w:hAnsi="Aptos"/>
                <w:color w:val="1E252B"/>
                <w:sz w:val="17"/>
              </w:rPr>
              <w:t>Infrastructure administration</w:t>
            </w:r>
          </w:p>
        </w:tc>
        <w:tc>
          <w:tcPr>
            <w:tcW w:type="dxa" w:w="7160"/>
            <w:tcMar>
              <w:top w:w="100" w:type="dxa"/>
              <w:start w:w="130" w:type="dxa"/>
              <w:bottom w:w="100" w:type="dxa"/>
              <w:end w:w="130" w:type="dxa"/>
            </w:tcMar>
            <w:vAlign w:val="center"/>
          </w:tcPr>
          <w:p>
            <w:pPr>
              <w:spacing w:after="0" w:line="259" w:lineRule="auto"/>
            </w:pPr>
            <w:r>
              <w:rPr>
                <w:rFonts w:ascii="Aptos" w:hAnsi="Aptos"/>
                <w:color w:val="1E252B"/>
                <w:sz w:val="17"/>
              </w:rPr>
              <w:t>Hosts, packages, storage, private networking, firewall policy, DNS, supporting services, and bounded privileged mediation.</w:t>
            </w:r>
          </w:p>
        </w:tc>
      </w:tr>
      <w:tr>
        <w:trPr>
          <w:cantSplit/>
        </w:trPr>
        <w:tc>
          <w:tcPr>
            <w:tcW w:type="dxa" w:w="2200"/>
            <w:shd w:fill="F7F9FB"/>
            <w:tcMar>
              <w:top w:w="100" w:type="dxa"/>
              <w:start w:w="130" w:type="dxa"/>
              <w:bottom w:w="100" w:type="dxa"/>
              <w:end w:w="130" w:type="dxa"/>
            </w:tcMar>
            <w:vAlign w:val="center"/>
          </w:tcPr>
          <w:p>
            <w:pPr>
              <w:spacing w:after="0" w:line="259" w:lineRule="auto"/>
            </w:pPr>
            <w:r>
              <w:rPr>
                <w:rFonts w:ascii="Aptos" w:hAnsi="Aptos"/>
                <w:color w:val="1E252B"/>
                <w:sz w:val="17"/>
              </w:rPr>
              <w:t>Continuity and incidents</w:t>
            </w:r>
          </w:p>
        </w:tc>
        <w:tc>
          <w:tcPr>
            <w:tcW w:type="dxa" w:w="7160"/>
            <w:shd w:fill="F7F9FB"/>
            <w:tcMar>
              <w:top w:w="100" w:type="dxa"/>
              <w:start w:w="130" w:type="dxa"/>
              <w:bottom w:w="100" w:type="dxa"/>
              <w:end w:w="130" w:type="dxa"/>
            </w:tcMar>
            <w:vAlign w:val="center"/>
          </w:tcPr>
          <w:p>
            <w:pPr>
              <w:spacing w:after="0" w:line="259" w:lineRule="auto"/>
            </w:pPr>
            <w:r>
              <w:rPr>
                <w:rFonts w:ascii="Aptos" w:hAnsi="Aptos"/>
                <w:color w:val="1E252B"/>
                <w:sz w:val="17"/>
              </w:rPr>
              <w:t>Detection, containment, predefined recovery, reconciliation, evidence preservation, and escalation.</w:t>
            </w:r>
          </w:p>
        </w:tc>
      </w:tr>
      <w:tr>
        <w:trPr>
          <w:cantSplit/>
        </w:trPr>
        <w:tc>
          <w:tcPr>
            <w:tcW w:type="dxa" w:w="2200"/>
            <w:tcMar>
              <w:top w:w="100" w:type="dxa"/>
              <w:start w:w="130" w:type="dxa"/>
              <w:bottom w:w="100" w:type="dxa"/>
              <w:end w:w="130" w:type="dxa"/>
            </w:tcMar>
            <w:vAlign w:val="center"/>
          </w:tcPr>
          <w:p>
            <w:pPr>
              <w:spacing w:after="0" w:line="259" w:lineRule="auto"/>
            </w:pPr>
            <w:r>
              <w:rPr>
                <w:rFonts w:ascii="Aptos" w:hAnsi="Aptos"/>
                <w:color w:val="1E252B"/>
                <w:sz w:val="17"/>
              </w:rPr>
              <w:t>Environment model</w:t>
            </w:r>
          </w:p>
        </w:tc>
        <w:tc>
          <w:tcPr>
            <w:tcW w:type="dxa" w:w="7160"/>
            <w:tcMar>
              <w:top w:w="100" w:type="dxa"/>
              <w:start w:w="130" w:type="dxa"/>
              <w:bottom w:w="100" w:type="dxa"/>
              <w:end w:w="130" w:type="dxa"/>
            </w:tcMar>
            <w:vAlign w:val="center"/>
          </w:tcPr>
          <w:p>
            <w:pPr>
              <w:spacing w:after="0" w:line="259" w:lineRule="auto"/>
            </w:pPr>
            <w:r>
              <w:rPr>
                <w:rFonts w:ascii="Aptos" w:hAnsi="Aptos"/>
                <w:color w:val="1E252B"/>
                <w:sz w:val="17"/>
              </w:rPr>
              <w:t>Development, testing, and operational environments across multiple nodes.</w:t>
            </w:r>
          </w:p>
        </w:tc>
      </w:tr>
      <w:tr>
        <w:trPr>
          <w:cantSplit/>
        </w:trPr>
        <w:tc>
          <w:tcPr>
            <w:tcW w:type="dxa" w:w="2200"/>
            <w:shd w:fill="F7F9FB"/>
            <w:tcMar>
              <w:top w:w="100" w:type="dxa"/>
              <w:start w:w="130" w:type="dxa"/>
              <w:bottom w:w="100" w:type="dxa"/>
              <w:end w:w="130" w:type="dxa"/>
            </w:tcMar>
            <w:vAlign w:val="center"/>
          </w:tcPr>
          <w:p>
            <w:pPr>
              <w:spacing w:after="0" w:line="259" w:lineRule="auto"/>
            </w:pPr>
            <w:r>
              <w:rPr>
                <w:rFonts w:ascii="Aptos" w:hAnsi="Aptos"/>
                <w:color w:val="1E252B"/>
                <w:sz w:val="17"/>
              </w:rPr>
              <w:t>Operator surfaces</w:t>
            </w:r>
          </w:p>
        </w:tc>
        <w:tc>
          <w:tcPr>
            <w:tcW w:type="dxa" w:w="7160"/>
            <w:shd w:fill="F7F9FB"/>
            <w:tcMar>
              <w:top w:w="100" w:type="dxa"/>
              <w:start w:w="130" w:type="dxa"/>
              <w:bottom w:w="100" w:type="dxa"/>
              <w:end w:w="130" w:type="dxa"/>
            </w:tcMar>
            <w:vAlign w:val="center"/>
          </w:tcPr>
          <w:p>
            <w:pPr>
              <w:spacing w:after="0" w:line="259" w:lineRule="auto"/>
            </w:pPr>
            <w:r>
              <w:rPr>
                <w:rFonts w:ascii="Aptos" w:hAnsi="Aptos"/>
                <w:color w:val="1E252B"/>
                <w:sz w:val="17"/>
              </w:rPr>
              <w:t>Conversational intent, visual oversight, GitHub control records, precise CLI, and break-glass recovery.</w:t>
            </w:r>
          </w:p>
        </w:tc>
      </w:tr>
    </w:tbl>
    <w:p>
      <w:pPr>
        <w:spacing w:after="40"/>
      </w:pPr>
    </w:p>
    <w:p>
      <w:pPr>
        <w:pStyle w:val="Heading2"/>
        <w:keepNext/>
      </w:pPr>
      <w:r>
        <w:t>2.2 Explicit non-goals</w:t>
      </w:r>
    </w:p>
    <w:p>
      <w:pPr>
        <w:pStyle w:val="NyvoraList"/>
        <w:numPr>
          <w:ilvl w:val="0"/>
          <w:numId w:val="10"/>
        </w:numPr>
      </w:pPr>
      <w:r>
        <w:rPr>
          <w:rFonts w:ascii="Aptos" w:hAnsi="Aptos"/>
          <w:color w:val="1E252B"/>
        </w:rPr>
        <w:t xml:space="preserve"> Public multi-tenant hosting or protection against mutually hostile customers.</w:t>
      </w:r>
    </w:p>
    <w:p>
      <w:pPr>
        <w:pStyle w:val="NyvoraList"/>
        <w:numPr>
          <w:ilvl w:val="0"/>
          <w:numId w:val="10"/>
        </w:numPr>
      </w:pPr>
      <w:r>
        <w:rPr>
          <w:rFonts w:ascii="Aptos" w:hAnsi="Aptos"/>
          <w:color w:val="1E252B"/>
        </w:rPr>
        <w:t xml:space="preserve"> Unbounded agent discretion, self-expanding permissions, or policy-free root access.</w:t>
      </w:r>
    </w:p>
    <w:p>
      <w:pPr>
        <w:pStyle w:val="NyvoraList"/>
        <w:numPr>
          <w:ilvl w:val="0"/>
          <w:numId w:val="10"/>
        </w:numPr>
      </w:pPr>
      <w:r>
        <w:rPr>
          <w:rFonts w:ascii="Aptos" w:hAnsi="Aptos"/>
          <w:color w:val="1E252B"/>
        </w:rPr>
        <w:t xml:space="preserve"> Active-active control based on a two-node quorum between ASUS and VPS.</w:t>
      </w:r>
    </w:p>
    <w:p>
      <w:pPr>
        <w:pStyle w:val="NyvoraList"/>
        <w:numPr>
          <w:ilvl w:val="0"/>
          <w:numId w:val="10"/>
        </w:numPr>
      </w:pPr>
      <w:r>
        <w:rPr>
          <w:rFonts w:ascii="Aptos" w:hAnsi="Aptos"/>
          <w:color w:val="1E252B"/>
        </w:rPr>
        <w:t xml:space="preserve"> Treating GitHub, PostgreSQL, NATS, logs, or a conversational transcript as authority by implication.</w:t>
      </w:r>
    </w:p>
    <w:p>
      <w:pPr>
        <w:pStyle w:val="NyvoraList"/>
        <w:numPr>
          <w:ilvl w:val="0"/>
          <w:numId w:val="10"/>
        </w:numPr>
      </w:pPr>
      <w:r>
        <w:rPr>
          <w:rFonts w:ascii="Aptos" w:hAnsi="Aptos"/>
          <w:color w:val="1E252B"/>
        </w:rPr>
        <w:t xml:space="preserve"> Proving availability, recovery time, or security through documentation alone.</w:t>
      </w:r>
    </w:p>
    <w:p>
      <w:pPr>
        <w:pStyle w:val="NyvoraList"/>
        <w:numPr>
          <w:ilvl w:val="0"/>
          <w:numId w:val="10"/>
        </w:numPr>
      </w:pPr>
      <w:r>
        <w:rPr>
          <w:rFonts w:ascii="Aptos" w:hAnsi="Aptos"/>
          <w:color w:val="1E252B"/>
        </w:rPr>
        <w:t xml:space="preserve"> Selecting every implementation product before the architecture requires it.</w:t>
      </w:r>
    </w:p>
    <w:p>
      <w:pPr>
        <w:pStyle w:val="Heading2"/>
        <w:keepNext/>
      </w:pPr>
      <w:r>
        <w:t>2.3 Architectural principles</w:t>
      </w:r>
    </w:p>
    <w:tbl>
      <w:tblPr>
        <w:tblStyle w:val="TableGrid"/>
        <w:tblW w:type="dxa" w:w="9360"/>
        <w:tblLayout w:type="fixed"/>
        <w:tblLook w:firstColumn="1" w:firstRow="1" w:lastColumn="0" w:lastRow="0" w:noHBand="0" w:noVBand="1" w:val="04A0"/>
        <w:jc w:val="left"/>
        <w:tblInd w:w="130" w:type="dxa"/>
      </w:tblPr>
      <w:tblGrid>
        <w:gridCol w:w="2450"/>
        <w:gridCol w:w="6910"/>
      </w:tblGrid>
      <w:tr>
        <w:trPr>
          <w:tblHeader w:val="true"/>
          <w:cantSplit/>
        </w:trPr>
        <w:tc>
          <w:tcPr>
            <w:tcW w:type="dxa" w:w="2450"/>
            <w:tcMar>
              <w:top w:w="100" w:type="dxa"/>
              <w:start w:w="130" w:type="dxa"/>
              <w:bottom w:w="100" w:type="dxa"/>
              <w:end w:w="130" w:type="dxa"/>
            </w:tcMar>
            <w:vAlign w:val="center"/>
            <w:shd w:fill="14213D"/>
          </w:tcPr>
          <w:p>
            <w:pPr>
              <w:spacing w:after="0"/>
              <w:jc w:val="left"/>
            </w:pPr>
            <w:r>
              <w:rPr>
                <w:rFonts w:ascii="Aptos" w:hAnsi="Aptos"/>
                <w:b/>
                <w:color w:val="FFFFFF"/>
                <w:sz w:val="16"/>
              </w:rPr>
              <w:t>Principle</w:t>
            </w:r>
          </w:p>
        </w:tc>
        <w:tc>
          <w:tcPr>
            <w:tcW w:type="dxa" w:w="6910"/>
            <w:tcMar>
              <w:top w:w="100" w:type="dxa"/>
              <w:start w:w="130" w:type="dxa"/>
              <w:bottom w:w="100" w:type="dxa"/>
              <w:end w:w="130" w:type="dxa"/>
            </w:tcMar>
            <w:vAlign w:val="center"/>
            <w:shd w:fill="14213D"/>
          </w:tcPr>
          <w:p>
            <w:pPr>
              <w:spacing w:after="0"/>
              <w:jc w:val="left"/>
            </w:pPr>
            <w:r>
              <w:rPr>
                <w:rFonts w:ascii="Aptos" w:hAnsi="Aptos"/>
                <w:b/>
                <w:color w:val="FFFFFF"/>
                <w:sz w:val="16"/>
              </w:rPr>
              <w:t>Meaning</w:t>
            </w:r>
          </w:p>
        </w:tc>
      </w:tr>
      <w:tr>
        <w:trPr>
          <w:cantSplit/>
        </w:trPr>
        <w:tc>
          <w:tcPr>
            <w:tcW w:type="dxa" w:w="2450"/>
            <w:tcMar>
              <w:top w:w="100" w:type="dxa"/>
              <w:start w:w="130" w:type="dxa"/>
              <w:bottom w:w="100" w:type="dxa"/>
              <w:end w:w="130" w:type="dxa"/>
            </w:tcMar>
            <w:vAlign w:val="center"/>
          </w:tcPr>
          <w:p>
            <w:pPr>
              <w:spacing w:after="0" w:line="259" w:lineRule="auto"/>
            </w:pPr>
            <w:r>
              <w:rPr>
                <w:rFonts w:ascii="Aptos" w:hAnsi="Aptos"/>
                <w:color w:val="1E252B"/>
                <w:sz w:val="17"/>
              </w:rPr>
              <w:t>P1 · Durable intent before execution</w:t>
            </w:r>
          </w:p>
        </w:tc>
        <w:tc>
          <w:tcPr>
            <w:tcW w:type="dxa" w:w="6910"/>
            <w:tcMar>
              <w:top w:w="100" w:type="dxa"/>
              <w:start w:w="130" w:type="dxa"/>
              <w:bottom w:w="100" w:type="dxa"/>
              <w:end w:w="130" w:type="dxa"/>
            </w:tcMar>
            <w:vAlign w:val="center"/>
          </w:tcPr>
          <w:p>
            <w:pPr>
              <w:spacing w:after="0" w:line="259" w:lineRule="auto"/>
            </w:pPr>
            <w:r>
              <w:rPr>
                <w:rFonts w:ascii="Aptos" w:hAnsi="Aptos"/>
                <w:color w:val="1E252B"/>
                <w:sz w:val="17"/>
              </w:rPr>
              <w:t>A mutation must trace to immutable or protected desired-state material.</w:t>
            </w:r>
          </w:p>
        </w:tc>
      </w:tr>
      <w:tr>
        <w:trPr>
          <w:cantSplit/>
        </w:trPr>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7"/>
              </w:rPr>
              <w:t>P2 · Least authority</w:t>
            </w:r>
          </w:p>
        </w:tc>
        <w:tc>
          <w:tcPr>
            <w:tcW w:type="dxa" w:w="6910"/>
            <w:shd w:fill="F7F9FB"/>
            <w:tcMar>
              <w:top w:w="100" w:type="dxa"/>
              <w:start w:w="130" w:type="dxa"/>
              <w:bottom w:w="100" w:type="dxa"/>
              <w:end w:w="130" w:type="dxa"/>
            </w:tcMar>
            <w:vAlign w:val="center"/>
          </w:tcPr>
          <w:p>
            <w:pPr>
              <w:spacing w:after="0" w:line="259" w:lineRule="auto"/>
            </w:pPr>
            <w:r>
              <w:rPr>
                <w:rFonts w:ascii="Aptos" w:hAnsi="Aptos"/>
                <w:color w:val="1E252B"/>
                <w:sz w:val="17"/>
              </w:rPr>
              <w:t>Every actor receives only the capability, environment, scope, and duration required.</w:t>
            </w:r>
          </w:p>
        </w:tc>
      </w:tr>
      <w:tr>
        <w:trPr>
          <w:cantSplit/>
        </w:trPr>
        <w:tc>
          <w:tcPr>
            <w:tcW w:type="dxa" w:w="2450"/>
            <w:tcMar>
              <w:top w:w="100" w:type="dxa"/>
              <w:start w:w="130" w:type="dxa"/>
              <w:bottom w:w="100" w:type="dxa"/>
              <w:end w:w="130" w:type="dxa"/>
            </w:tcMar>
            <w:vAlign w:val="center"/>
          </w:tcPr>
          <w:p>
            <w:pPr>
              <w:spacing w:after="0" w:line="259" w:lineRule="auto"/>
            </w:pPr>
            <w:r>
              <w:rPr>
                <w:rFonts w:ascii="Aptos" w:hAnsi="Aptos"/>
                <w:color w:val="1E252B"/>
                <w:sz w:val="17"/>
              </w:rPr>
              <w:t>P3 · Reversibility is a control</w:t>
            </w:r>
          </w:p>
        </w:tc>
        <w:tc>
          <w:tcPr>
            <w:tcW w:type="dxa" w:w="6910"/>
            <w:tcMar>
              <w:top w:w="100" w:type="dxa"/>
              <w:start w:w="130" w:type="dxa"/>
              <w:bottom w:w="100" w:type="dxa"/>
              <w:end w:w="130" w:type="dxa"/>
            </w:tcMar>
            <w:vAlign w:val="center"/>
          </w:tcPr>
          <w:p>
            <w:pPr>
              <w:spacing w:after="0" w:line="259" w:lineRule="auto"/>
            </w:pPr>
            <w:r>
              <w:rPr>
                <w:rFonts w:ascii="Aptos" w:hAnsi="Aptos"/>
                <w:color w:val="1E252B"/>
                <w:sz w:val="17"/>
              </w:rPr>
              <w:t>Rollback is designed and validated before a reversible action is classified as autonomous.</w:t>
            </w:r>
          </w:p>
        </w:tc>
      </w:tr>
      <w:tr>
        <w:trPr>
          <w:cantSplit/>
        </w:trPr>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7"/>
              </w:rPr>
              <w:t>P4 · Evidence is part of completion</w:t>
            </w:r>
          </w:p>
        </w:tc>
        <w:tc>
          <w:tcPr>
            <w:tcW w:type="dxa" w:w="6910"/>
            <w:shd w:fill="F7F9FB"/>
            <w:tcMar>
              <w:top w:w="100" w:type="dxa"/>
              <w:start w:w="130" w:type="dxa"/>
              <w:bottom w:w="100" w:type="dxa"/>
              <w:end w:w="130" w:type="dxa"/>
            </w:tcMar>
            <w:vAlign w:val="center"/>
          </w:tcPr>
          <w:p>
            <w:pPr>
              <w:spacing w:after="0" w:line="259" w:lineRule="auto"/>
            </w:pPr>
            <w:r>
              <w:rPr>
                <w:rFonts w:ascii="Aptos" w:hAnsi="Aptos"/>
                <w:color w:val="1E252B"/>
                <w:sz w:val="17"/>
              </w:rPr>
              <w:t>An action without a durable receipt is incomplete, even if its technical effect succeeded.</w:t>
            </w:r>
          </w:p>
        </w:tc>
      </w:tr>
      <w:tr>
        <w:trPr>
          <w:cantSplit/>
        </w:trPr>
        <w:tc>
          <w:tcPr>
            <w:tcW w:type="dxa" w:w="2450"/>
            <w:tcMar>
              <w:top w:w="100" w:type="dxa"/>
              <w:start w:w="130" w:type="dxa"/>
              <w:bottom w:w="100" w:type="dxa"/>
              <w:end w:w="130" w:type="dxa"/>
            </w:tcMar>
            <w:vAlign w:val="center"/>
          </w:tcPr>
          <w:p>
            <w:pPr>
              <w:spacing w:after="0" w:line="259" w:lineRule="auto"/>
            </w:pPr>
            <w:r>
              <w:rPr>
                <w:rFonts w:ascii="Aptos" w:hAnsi="Aptos"/>
                <w:color w:val="1E252B"/>
                <w:sz w:val="17"/>
              </w:rPr>
              <w:t>P5 · State is not authority</w:t>
            </w:r>
          </w:p>
        </w:tc>
        <w:tc>
          <w:tcPr>
            <w:tcW w:type="dxa" w:w="6910"/>
            <w:tcMar>
              <w:top w:w="100" w:type="dxa"/>
              <w:start w:w="130" w:type="dxa"/>
              <w:bottom w:w="100" w:type="dxa"/>
              <w:end w:w="130" w:type="dxa"/>
            </w:tcMar>
            <w:vAlign w:val="center"/>
          </w:tcPr>
          <w:p>
            <w:pPr>
              <w:spacing w:after="0" w:line="259" w:lineRule="auto"/>
            </w:pPr>
            <w:r>
              <w:rPr>
                <w:rFonts w:ascii="Aptos" w:hAnsi="Aptos"/>
                <w:color w:val="1E252B"/>
                <w:sz w:val="17"/>
              </w:rPr>
              <w:t>PostgreSQL stores runtime state and NATS transports events; neither may independently authorize change.</w:t>
            </w:r>
          </w:p>
        </w:tc>
      </w:tr>
      <w:tr>
        <w:trPr>
          <w:cantSplit/>
        </w:trPr>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7"/>
              </w:rPr>
              <w:t>P6 · Pull and reconcile</w:t>
            </w:r>
          </w:p>
        </w:tc>
        <w:tc>
          <w:tcPr>
            <w:tcW w:type="dxa" w:w="6910"/>
            <w:shd w:fill="F7F9FB"/>
            <w:tcMar>
              <w:top w:w="100" w:type="dxa"/>
              <w:start w:w="130" w:type="dxa"/>
              <w:bottom w:w="100" w:type="dxa"/>
              <w:end w:w="130" w:type="dxa"/>
            </w:tcMar>
            <w:vAlign w:val="center"/>
          </w:tcPr>
          <w:p>
            <w:pPr>
              <w:spacing w:after="0" w:line="259" w:lineRule="auto"/>
            </w:pPr>
            <w:r>
              <w:rPr>
                <w:rFonts w:ascii="Aptos" w:hAnsi="Aptos"/>
                <w:color w:val="1E252B"/>
                <w:sz w:val="17"/>
              </w:rPr>
              <w:t>Nodes retrieve and verify desired state; unreliable webhook delivery cannot be the sole trigger.</w:t>
            </w:r>
          </w:p>
        </w:tc>
      </w:tr>
      <w:tr>
        <w:trPr>
          <w:cantSplit/>
        </w:trPr>
        <w:tc>
          <w:tcPr>
            <w:tcW w:type="dxa" w:w="2450"/>
            <w:tcMar>
              <w:top w:w="100" w:type="dxa"/>
              <w:start w:w="130" w:type="dxa"/>
              <w:bottom w:w="100" w:type="dxa"/>
              <w:end w:w="130" w:type="dxa"/>
            </w:tcMar>
            <w:vAlign w:val="center"/>
          </w:tcPr>
          <w:p>
            <w:pPr>
              <w:spacing w:after="0" w:line="259" w:lineRule="auto"/>
            </w:pPr>
            <w:r>
              <w:rPr>
                <w:rFonts w:ascii="Aptos" w:hAnsi="Aptos"/>
                <w:color w:val="1E252B"/>
                <w:sz w:val="17"/>
              </w:rPr>
              <w:t>P7 · Safe degradation</w:t>
            </w:r>
          </w:p>
        </w:tc>
        <w:tc>
          <w:tcPr>
            <w:tcW w:type="dxa" w:w="6910"/>
            <w:tcMar>
              <w:top w:w="100" w:type="dxa"/>
              <w:start w:w="130" w:type="dxa"/>
              <w:bottom w:w="100" w:type="dxa"/>
              <w:end w:w="130" w:type="dxa"/>
            </w:tcMar>
            <w:vAlign w:val="center"/>
          </w:tcPr>
          <w:p>
            <w:pPr>
              <w:spacing w:after="0" w:line="259" w:lineRule="auto"/>
            </w:pPr>
            <w:r>
              <w:rPr>
                <w:rFonts w:ascii="Aptos" w:hAnsi="Aptos"/>
                <w:color w:val="1E252B"/>
                <w:sz w:val="17"/>
              </w:rPr>
              <w:t>Loss of a dependency reduces capability rather than silently weakening controls.</w:t>
            </w:r>
          </w:p>
        </w:tc>
      </w:tr>
      <w:tr>
        <w:trPr>
          <w:cantSplit/>
        </w:trPr>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7"/>
              </w:rPr>
              <w:t>P8 · Satisfice deliberately</w:t>
            </w:r>
          </w:p>
        </w:tc>
        <w:tc>
          <w:tcPr>
            <w:tcW w:type="dxa" w:w="6910"/>
            <w:shd w:fill="F7F9FB"/>
            <w:tcMar>
              <w:top w:w="100" w:type="dxa"/>
              <w:start w:w="130" w:type="dxa"/>
              <w:bottom w:w="100" w:type="dxa"/>
              <w:end w:w="130" w:type="dxa"/>
            </w:tcMar>
            <w:vAlign w:val="center"/>
          </w:tcPr>
          <w:p>
            <w:pPr>
              <w:spacing w:after="0" w:line="259" w:lineRule="auto"/>
            </w:pPr>
            <w:r>
              <w:rPr>
                <w:rFonts w:ascii="Aptos" w:hAnsi="Aptos"/>
                <w:color w:val="1E252B"/>
                <w:sz w:val="17"/>
              </w:rPr>
              <w:t>Use the smallest architecture that meets the personal-platform threat and availability model.</w:t>
            </w:r>
          </w:p>
        </w:tc>
      </w:tr>
    </w:tbl>
    <w:p>
      <w:pPr>
        <w:spacing w:after="40"/>
      </w:pPr>
    </w:p>
    <w:p>
      <w:pPr>
        <w:pStyle w:val="Heading1"/>
        <w:keepNext/>
      </w:pPr>
      <w:r>
        <w:t>3. Logical architecture</w:t>
      </w:r>
    </w:p>
    <w:p>
      <w:pPr/>
      <w:r>
        <w:rPr>
          <w:rFonts w:ascii="Aptos" w:hAnsi="Aptos"/>
          <w:color w:val="1E252B"/>
        </w:rPr>
        <w:t>Nyvora separates five concerns: owner authority, desired state, always-on coordination, workload execution, and evidence. Separation prevents a compromised runtime database, message bus, or agent from manufacturing authorization.</w:t>
      </w:r>
    </w:p>
    <w:p>
      <w:pPr>
        <w:jc w:val="center"/>
      </w:pPr>
      <w:r>
        <w:drawing>
          <wp:inline xmlns:a="http://schemas.openxmlformats.org/drawingml/2006/main" xmlns:pic="http://schemas.openxmlformats.org/drawingml/2006/picture">
            <wp:extent cx="5989320" cy="3611208"/>
            <wp:docPr id="1" name="Picture 1" title="Nyvora logical topology" descr="Mac owner plane authorizes protected GitHub desired state; ASUS performs primary reconciliation and compute; VPS provides edge and continuity; both execute policy-bound work across development, testing, and operational environments while sending signed receipts to an independent evidence plane."/>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5989320" cy="3611208"/>
                    </a:xfrm>
                    <a:prstGeom prst="rect"/>
                  </pic:spPr>
                </pic:pic>
              </a:graphicData>
            </a:graphic>
          </wp:inline>
        </w:drawing>
      </w:r>
    </w:p>
    <w:p>
      <w:pPr>
        <w:pStyle w:val="NyvoraCaption"/>
      </w:pPr>
      <w:r>
        <w:rPr>
          <w:rFonts w:ascii="Aptos" w:hAnsi="Aptos"/>
          <w:i/>
          <w:color w:val="5E6873"/>
          <w:sz w:val="17"/>
        </w:rPr>
        <w:t>Figure 1. Logical topology. ASUS and VPS distribute responsibilities, while single-writer fencing prevents split-brain mutation.</w:t>
      </w:r>
    </w:p>
    <w:p>
      <w:pPr>
        <w:pStyle w:val="Heading2"/>
        <w:keepNext/>
      </w:pPr>
      <w:r>
        <w:t>3.1 Node responsibilities</w:t>
      </w:r>
    </w:p>
    <w:tbl>
      <w:tblPr>
        <w:tblStyle w:val="TableGrid"/>
        <w:tblW w:type="dxa" w:w="9360"/>
        <w:tblLayout w:type="fixed"/>
        <w:tblLook w:firstColumn="1" w:firstRow="1" w:lastColumn="0" w:lastRow="0" w:noHBand="0" w:noVBand="1" w:val="04A0"/>
        <w:jc w:val="left"/>
        <w:tblInd w:w="130" w:type="dxa"/>
      </w:tblPr>
      <w:tblGrid>
        <w:gridCol w:w="1320"/>
        <w:gridCol w:w="1460"/>
        <w:gridCol w:w="4220"/>
        <w:gridCol w:w="2360"/>
      </w:tblGrid>
      <w:tr>
        <w:trPr>
          <w:tblHeader w:val="true"/>
          <w:cantSplit/>
        </w:trPr>
        <w:tc>
          <w:tcPr>
            <w:tcW w:type="dxa" w:w="1320"/>
            <w:tcMar>
              <w:top w:w="100" w:type="dxa"/>
              <w:start w:w="130" w:type="dxa"/>
              <w:bottom w:w="100" w:type="dxa"/>
              <w:end w:w="130" w:type="dxa"/>
            </w:tcMar>
            <w:vAlign w:val="center"/>
            <w:shd w:fill="14213D"/>
          </w:tcPr>
          <w:p>
            <w:pPr>
              <w:spacing w:after="0"/>
              <w:jc w:val="left"/>
            </w:pPr>
            <w:r>
              <w:rPr>
                <w:rFonts w:ascii="Aptos" w:hAnsi="Aptos"/>
                <w:b/>
                <w:color w:val="FFFFFF"/>
                <w:sz w:val="16"/>
              </w:rPr>
              <w:t>Component</w:t>
            </w:r>
          </w:p>
        </w:tc>
        <w:tc>
          <w:tcPr>
            <w:tcW w:type="dxa" w:w="1460"/>
            <w:tcMar>
              <w:top w:w="100" w:type="dxa"/>
              <w:start w:w="130" w:type="dxa"/>
              <w:bottom w:w="100" w:type="dxa"/>
              <w:end w:w="130" w:type="dxa"/>
            </w:tcMar>
            <w:vAlign w:val="center"/>
            <w:shd w:fill="14213D"/>
          </w:tcPr>
          <w:p>
            <w:pPr>
              <w:spacing w:after="0"/>
              <w:jc w:val="left"/>
            </w:pPr>
            <w:r>
              <w:rPr>
                <w:rFonts w:ascii="Aptos" w:hAnsi="Aptos"/>
                <w:b/>
                <w:color w:val="FFFFFF"/>
                <w:sz w:val="16"/>
              </w:rPr>
              <w:t>Role</w:t>
            </w:r>
          </w:p>
        </w:tc>
        <w:tc>
          <w:tcPr>
            <w:tcW w:type="dxa" w:w="4220"/>
            <w:tcMar>
              <w:top w:w="100" w:type="dxa"/>
              <w:start w:w="130" w:type="dxa"/>
              <w:bottom w:w="100" w:type="dxa"/>
              <w:end w:w="130" w:type="dxa"/>
            </w:tcMar>
            <w:vAlign w:val="center"/>
            <w:shd w:fill="14213D"/>
          </w:tcPr>
          <w:p>
            <w:pPr>
              <w:spacing w:after="0"/>
              <w:jc w:val="left"/>
            </w:pPr>
            <w:r>
              <w:rPr>
                <w:rFonts w:ascii="Aptos" w:hAnsi="Aptos"/>
                <w:b/>
                <w:color w:val="FFFFFF"/>
                <w:sz w:val="16"/>
              </w:rPr>
              <w:t>Responsibilities</w:t>
            </w:r>
          </w:p>
        </w:tc>
        <w:tc>
          <w:tcPr>
            <w:tcW w:type="dxa" w:w="2360"/>
            <w:tcMar>
              <w:top w:w="100" w:type="dxa"/>
              <w:start w:w="130" w:type="dxa"/>
              <w:bottom w:w="100" w:type="dxa"/>
              <w:end w:w="130" w:type="dxa"/>
            </w:tcMar>
            <w:vAlign w:val="center"/>
            <w:shd w:fill="14213D"/>
          </w:tcPr>
          <w:p>
            <w:pPr>
              <w:spacing w:after="0"/>
              <w:jc w:val="left"/>
            </w:pPr>
            <w:r>
              <w:rPr>
                <w:rFonts w:ascii="Aptos" w:hAnsi="Aptos"/>
                <w:b/>
                <w:color w:val="FFFFFF"/>
                <w:sz w:val="16"/>
              </w:rPr>
              <w:t>Boundary</w:t>
            </w:r>
          </w:p>
        </w:tc>
      </w:tr>
      <w:tr>
        <w:trPr>
          <w:cantSplit/>
        </w:trPr>
        <w:tc>
          <w:tcPr>
            <w:tcW w:type="dxa" w:w="1320"/>
            <w:tcMar>
              <w:top w:w="100" w:type="dxa"/>
              <w:start w:w="130" w:type="dxa"/>
              <w:bottom w:w="100" w:type="dxa"/>
              <w:end w:w="130" w:type="dxa"/>
            </w:tcMar>
            <w:vAlign w:val="center"/>
          </w:tcPr>
          <w:p>
            <w:pPr>
              <w:spacing w:after="0" w:line="259" w:lineRule="auto"/>
            </w:pPr>
            <w:r>
              <w:rPr>
                <w:rFonts w:ascii="Aptos" w:hAnsi="Aptos"/>
                <w:color w:val="1E252B"/>
                <w:sz w:val="15"/>
              </w:rPr>
              <w:t>Mac</w:t>
            </w:r>
          </w:p>
        </w:tc>
        <w:tc>
          <w:tcPr>
            <w:tcW w:type="dxa" w:w="1460"/>
            <w:tcMar>
              <w:top w:w="100" w:type="dxa"/>
              <w:start w:w="130" w:type="dxa"/>
              <w:bottom w:w="100" w:type="dxa"/>
              <w:end w:w="130" w:type="dxa"/>
            </w:tcMar>
            <w:vAlign w:val="center"/>
          </w:tcPr>
          <w:p>
            <w:pPr>
              <w:spacing w:after="0" w:line="259" w:lineRule="auto"/>
            </w:pPr>
            <w:r>
              <w:rPr>
                <w:rFonts w:ascii="Aptos" w:hAnsi="Aptos"/>
                <w:color w:val="1E252B"/>
                <w:sz w:val="15"/>
              </w:rPr>
              <w:t>Owner plane</w:t>
            </w:r>
          </w:p>
        </w:tc>
        <w:tc>
          <w:tcPr>
            <w:tcW w:type="dxa" w:w="4220"/>
            <w:tcMar>
              <w:top w:w="100" w:type="dxa"/>
              <w:start w:w="130" w:type="dxa"/>
              <w:bottom w:w="100" w:type="dxa"/>
              <w:end w:w="130" w:type="dxa"/>
            </w:tcMar>
            <w:vAlign w:val="center"/>
          </w:tcPr>
          <w:p>
            <w:pPr>
              <w:spacing w:after="0" w:line="259" w:lineRule="auto"/>
            </w:pPr>
            <w:r>
              <w:rPr>
                <w:rFonts w:ascii="Aptos" w:hAnsi="Aptos"/>
                <w:color w:val="1E252B"/>
                <w:sz w:val="15"/>
              </w:rPr>
              <w:t>High-trust console; policy and baseline authoring; irreversible-action approval; recovery-root use; break-glass administration.</w:t>
            </w:r>
          </w:p>
        </w:tc>
        <w:tc>
          <w:tcPr>
            <w:tcW w:type="dxa" w:w="2360"/>
            <w:tcMar>
              <w:top w:w="100" w:type="dxa"/>
              <w:start w:w="130" w:type="dxa"/>
              <w:bottom w:w="100" w:type="dxa"/>
              <w:end w:w="130" w:type="dxa"/>
            </w:tcMar>
            <w:vAlign w:val="center"/>
          </w:tcPr>
          <w:p>
            <w:pPr>
              <w:spacing w:after="0" w:line="259" w:lineRule="auto"/>
            </w:pPr>
            <w:r>
              <w:rPr>
                <w:rFonts w:ascii="Aptos" w:hAnsi="Aptos"/>
                <w:color w:val="1E252B"/>
                <w:sz w:val="15"/>
              </w:rPr>
              <w:t>Not required for previously authorized routine operations; owner and recovery actions still require the appropriate owner authority.</w:t>
            </w:r>
          </w:p>
        </w:tc>
      </w:tr>
      <w:tr>
        <w:trPr>
          <w:cantSplit/>
        </w:trPr>
        <w:tc>
          <w:tcPr>
            <w:tcW w:type="dxa" w:w="1320"/>
            <w:shd w:fill="F7F9FB"/>
            <w:tcMar>
              <w:top w:w="100" w:type="dxa"/>
              <w:start w:w="130" w:type="dxa"/>
              <w:bottom w:w="100" w:type="dxa"/>
              <w:end w:w="130" w:type="dxa"/>
            </w:tcMar>
            <w:vAlign w:val="center"/>
          </w:tcPr>
          <w:p>
            <w:pPr>
              <w:spacing w:after="0" w:line="259" w:lineRule="auto"/>
            </w:pPr>
            <w:r>
              <w:rPr>
                <w:rFonts w:ascii="Aptos" w:hAnsi="Aptos"/>
                <w:color w:val="1E252B"/>
                <w:sz w:val="15"/>
              </w:rPr>
              <w:t>ASUS</w:t>
            </w:r>
          </w:p>
        </w:tc>
        <w:tc>
          <w:tcPr>
            <w:tcW w:type="dxa" w:w="1460"/>
            <w:shd w:fill="F7F9FB"/>
            <w:tcMar>
              <w:top w:w="100" w:type="dxa"/>
              <w:start w:w="130" w:type="dxa"/>
              <w:bottom w:w="100" w:type="dxa"/>
              <w:end w:w="130" w:type="dxa"/>
            </w:tcMar>
            <w:vAlign w:val="center"/>
          </w:tcPr>
          <w:p>
            <w:pPr>
              <w:spacing w:after="0" w:line="259" w:lineRule="auto"/>
            </w:pPr>
            <w:r>
              <w:rPr>
                <w:rFonts w:ascii="Aptos" w:hAnsi="Aptos"/>
                <w:color w:val="1E252B"/>
                <w:sz w:val="15"/>
              </w:rPr>
              <w:t>Primary control + compute</w:t>
            </w:r>
          </w:p>
        </w:tc>
        <w:tc>
          <w:tcPr>
            <w:tcW w:type="dxa" w:w="4220"/>
            <w:shd w:fill="F7F9FB"/>
            <w:tcMar>
              <w:top w:w="100" w:type="dxa"/>
              <w:start w:w="130" w:type="dxa"/>
              <w:bottom w:w="100" w:type="dxa"/>
              <w:end w:w="130" w:type="dxa"/>
            </w:tcMar>
            <w:vAlign w:val="center"/>
          </w:tcPr>
          <w:p>
            <w:pPr>
              <w:spacing w:after="0" w:line="259" w:lineRule="auto"/>
            </w:pPr>
            <w:r>
              <w:rPr>
                <w:rFonts w:ascii="Aptos" w:hAnsi="Aptos"/>
                <w:color w:val="1E252B"/>
                <w:sz w:val="15"/>
              </w:rPr>
              <w:t>Normal reconciler; runtime metadata; event transport; rootless workloads; test and operational execution; local monitoring.</w:t>
            </w:r>
          </w:p>
        </w:tc>
        <w:tc>
          <w:tcPr>
            <w:tcW w:type="dxa" w:w="2360"/>
            <w:shd w:fill="F7F9FB"/>
            <w:tcMar>
              <w:top w:w="100" w:type="dxa"/>
              <w:start w:w="130" w:type="dxa"/>
              <w:bottom w:w="100" w:type="dxa"/>
              <w:end w:w="130" w:type="dxa"/>
            </w:tcMar>
            <w:vAlign w:val="center"/>
          </w:tcPr>
          <w:p>
            <w:pPr>
              <w:spacing w:after="0" w:line="259" w:lineRule="auto"/>
            </w:pPr>
            <w:r>
              <w:rPr>
                <w:rFonts w:ascii="Aptos" w:hAnsi="Aptos"/>
                <w:color w:val="1E252B"/>
                <w:sz w:val="15"/>
              </w:rPr>
              <w:t>Single-writer per environment under a valid lease.</w:t>
            </w:r>
          </w:p>
        </w:tc>
      </w:tr>
      <w:tr>
        <w:trPr>
          <w:cantSplit/>
        </w:trPr>
        <w:tc>
          <w:tcPr>
            <w:tcW w:type="dxa" w:w="1320"/>
            <w:tcMar>
              <w:top w:w="100" w:type="dxa"/>
              <w:start w:w="130" w:type="dxa"/>
              <w:bottom w:w="100" w:type="dxa"/>
              <w:end w:w="130" w:type="dxa"/>
            </w:tcMar>
            <w:vAlign w:val="center"/>
          </w:tcPr>
          <w:p>
            <w:pPr>
              <w:spacing w:after="0" w:line="259" w:lineRule="auto"/>
            </w:pPr>
            <w:r>
              <w:rPr>
                <w:rFonts w:ascii="Aptos" w:hAnsi="Aptos"/>
                <w:color w:val="1E252B"/>
                <w:sz w:val="15"/>
              </w:rPr>
              <w:t>VPS</w:t>
            </w:r>
          </w:p>
        </w:tc>
        <w:tc>
          <w:tcPr>
            <w:tcW w:type="dxa" w:w="1460"/>
            <w:tcMar>
              <w:top w:w="100" w:type="dxa"/>
              <w:start w:w="130" w:type="dxa"/>
              <w:bottom w:w="100" w:type="dxa"/>
              <w:end w:w="130" w:type="dxa"/>
            </w:tcMar>
            <w:vAlign w:val="center"/>
          </w:tcPr>
          <w:p>
            <w:pPr>
              <w:spacing w:after="0" w:line="259" w:lineRule="auto"/>
            </w:pPr>
            <w:r>
              <w:rPr>
                <w:rFonts w:ascii="Aptos" w:hAnsi="Aptos"/>
                <w:color w:val="1E252B"/>
                <w:sz w:val="15"/>
              </w:rPr>
              <w:t>Edge + continuity</w:t>
            </w:r>
          </w:p>
        </w:tc>
        <w:tc>
          <w:tcPr>
            <w:tcW w:type="dxa" w:w="4220"/>
            <w:tcMar>
              <w:top w:w="100" w:type="dxa"/>
              <w:start w:w="130" w:type="dxa"/>
              <w:bottom w:w="100" w:type="dxa"/>
              <w:end w:w="130" w:type="dxa"/>
            </w:tcMar>
            <w:vAlign w:val="center"/>
          </w:tcPr>
          <w:p>
            <w:pPr>
              <w:spacing w:after="0" w:line="259" w:lineRule="auto"/>
            </w:pPr>
            <w:r>
              <w:rPr>
                <w:rFonts w:ascii="Aptos" w:hAnsi="Aptos"/>
                <w:color w:val="1E252B"/>
                <w:sz w:val="15"/>
              </w:rPr>
              <w:t>Relay; public edge; external observation; signed cache; evidence forwarding; fenced recovery coordination.</w:t>
            </w:r>
          </w:p>
        </w:tc>
        <w:tc>
          <w:tcPr>
            <w:tcW w:type="dxa" w:w="2360"/>
            <w:tcMar>
              <w:top w:w="100" w:type="dxa"/>
              <w:start w:w="130" w:type="dxa"/>
              <w:bottom w:w="100" w:type="dxa"/>
              <w:end w:w="130" w:type="dxa"/>
            </w:tcMar>
            <w:vAlign w:val="center"/>
          </w:tcPr>
          <w:p>
            <w:pPr>
              <w:spacing w:after="0" w:line="259" w:lineRule="auto"/>
            </w:pPr>
            <w:r>
              <w:rPr>
                <w:rFonts w:ascii="Aptos" w:hAnsi="Aptos"/>
                <w:color w:val="1E252B"/>
                <w:sz w:val="15"/>
              </w:rPr>
              <w:t>Does not become an independent unrestricted controller.</w:t>
            </w:r>
          </w:p>
        </w:tc>
      </w:tr>
      <w:tr>
        <w:trPr>
          <w:cantSplit/>
        </w:trPr>
        <w:tc>
          <w:tcPr>
            <w:tcW w:type="dxa" w:w="1320"/>
            <w:shd w:fill="F7F9FB"/>
            <w:tcMar>
              <w:top w:w="100" w:type="dxa"/>
              <w:start w:w="130" w:type="dxa"/>
              <w:bottom w:w="100" w:type="dxa"/>
              <w:end w:w="130" w:type="dxa"/>
            </w:tcMar>
            <w:vAlign w:val="center"/>
          </w:tcPr>
          <w:p>
            <w:pPr>
              <w:spacing w:after="0" w:line="259" w:lineRule="auto"/>
            </w:pPr>
            <w:r>
              <w:rPr>
                <w:rFonts w:ascii="Aptos" w:hAnsi="Aptos"/>
                <w:color w:val="1E252B"/>
                <w:sz w:val="15"/>
              </w:rPr>
              <w:t>GitHub</w:t>
            </w:r>
          </w:p>
        </w:tc>
        <w:tc>
          <w:tcPr>
            <w:tcW w:type="dxa" w:w="1460"/>
            <w:shd w:fill="F7F9FB"/>
            <w:tcMar>
              <w:top w:w="100" w:type="dxa"/>
              <w:start w:w="130" w:type="dxa"/>
              <w:bottom w:w="100" w:type="dxa"/>
              <w:end w:w="130" w:type="dxa"/>
            </w:tcMar>
            <w:vAlign w:val="center"/>
          </w:tcPr>
          <w:p>
            <w:pPr>
              <w:spacing w:after="0" w:line="259" w:lineRule="auto"/>
            </w:pPr>
            <w:r>
              <w:rPr>
                <w:rFonts w:ascii="Aptos" w:hAnsi="Aptos"/>
                <w:color w:val="1E252B"/>
                <w:sz w:val="15"/>
              </w:rPr>
              <w:t>Desired-state plane</w:t>
            </w:r>
          </w:p>
        </w:tc>
        <w:tc>
          <w:tcPr>
            <w:tcW w:type="dxa" w:w="4220"/>
            <w:shd w:fill="F7F9FB"/>
            <w:tcMar>
              <w:top w:w="100" w:type="dxa"/>
              <w:start w:w="130" w:type="dxa"/>
              <w:bottom w:w="100" w:type="dxa"/>
              <w:end w:w="130" w:type="dxa"/>
            </w:tcMar>
            <w:vAlign w:val="center"/>
          </w:tcPr>
          <w:p>
            <w:pPr>
              <w:spacing w:after="0" w:line="259" w:lineRule="auto"/>
            </w:pPr>
            <w:r>
              <w:rPr>
                <w:rFonts w:ascii="Aptos" w:hAnsi="Aptos"/>
                <w:color w:val="1E252B"/>
                <w:sz w:val="15"/>
              </w:rPr>
              <w:t>Protected code and configuration; policies; PR approvals; Actions; releases; attestations; recovery definitions.</w:t>
            </w:r>
          </w:p>
        </w:tc>
        <w:tc>
          <w:tcPr>
            <w:tcW w:type="dxa" w:w="2360"/>
            <w:shd w:fill="F7F9FB"/>
            <w:tcMar>
              <w:top w:w="100" w:type="dxa"/>
              <w:start w:w="130" w:type="dxa"/>
              <w:bottom w:w="100" w:type="dxa"/>
              <w:end w:w="130" w:type="dxa"/>
            </w:tcMar>
            <w:vAlign w:val="center"/>
          </w:tcPr>
          <w:p>
            <w:pPr>
              <w:spacing w:after="0" w:line="259" w:lineRule="auto"/>
            </w:pPr>
            <w:r>
              <w:rPr>
                <w:rFonts w:ascii="Aptos" w:hAnsi="Aptos"/>
                <w:color w:val="1E252B"/>
                <w:sz w:val="15"/>
              </w:rPr>
              <w:t>Authoritative for new durable desired state; it does not create owner authority and is not a runtime database, transport, or secret vault.</w:t>
            </w:r>
          </w:p>
        </w:tc>
      </w:tr>
      <w:tr>
        <w:trPr>
          <w:cantSplit/>
        </w:trPr>
        <w:tc>
          <w:tcPr>
            <w:tcW w:type="dxa" w:w="1320"/>
            <w:tcMar>
              <w:top w:w="100" w:type="dxa"/>
              <w:start w:w="130" w:type="dxa"/>
              <w:bottom w:w="100" w:type="dxa"/>
              <w:end w:w="130" w:type="dxa"/>
            </w:tcMar>
            <w:vAlign w:val="center"/>
          </w:tcPr>
          <w:p>
            <w:pPr>
              <w:spacing w:after="0" w:line="259" w:lineRule="auto"/>
            </w:pPr>
            <w:r>
              <w:rPr>
                <w:rFonts w:ascii="Aptos" w:hAnsi="Aptos"/>
                <w:color w:val="1E252B"/>
                <w:sz w:val="15"/>
              </w:rPr>
              <w:t>Evidence store</w:t>
            </w:r>
          </w:p>
        </w:tc>
        <w:tc>
          <w:tcPr>
            <w:tcW w:type="dxa" w:w="1460"/>
            <w:tcMar>
              <w:top w:w="100" w:type="dxa"/>
              <w:start w:w="130" w:type="dxa"/>
              <w:bottom w:w="100" w:type="dxa"/>
              <w:end w:w="130" w:type="dxa"/>
            </w:tcMar>
            <w:vAlign w:val="center"/>
          </w:tcPr>
          <w:p>
            <w:pPr>
              <w:spacing w:after="0" w:line="259" w:lineRule="auto"/>
            </w:pPr>
            <w:r>
              <w:rPr>
                <w:rFonts w:ascii="Aptos" w:hAnsi="Aptos"/>
                <w:color w:val="1E252B"/>
                <w:sz w:val="15"/>
              </w:rPr>
              <w:t>Audit plane</w:t>
            </w:r>
          </w:p>
        </w:tc>
        <w:tc>
          <w:tcPr>
            <w:tcW w:type="dxa" w:w="4220"/>
            <w:tcMar>
              <w:top w:w="100" w:type="dxa"/>
              <w:start w:w="130" w:type="dxa"/>
              <w:bottom w:w="100" w:type="dxa"/>
              <w:end w:w="130" w:type="dxa"/>
            </w:tcMar>
            <w:vAlign w:val="center"/>
          </w:tcPr>
          <w:p>
            <w:pPr>
              <w:spacing w:after="0" w:line="259" w:lineRule="auto"/>
            </w:pPr>
            <w:r>
              <w:rPr>
                <w:rFonts w:ascii="Aptos" w:hAnsi="Aptos"/>
                <w:color w:val="1E252B"/>
                <w:sz w:val="15"/>
              </w:rPr>
              <w:t>Append-only or object-locked copy of signed action receipts and recovery evidence.</w:t>
            </w:r>
          </w:p>
        </w:tc>
        <w:tc>
          <w:tcPr>
            <w:tcW w:type="dxa" w:w="2360"/>
            <w:tcMar>
              <w:top w:w="100" w:type="dxa"/>
              <w:start w:w="130" w:type="dxa"/>
              <w:bottom w:w="100" w:type="dxa"/>
              <w:end w:w="130" w:type="dxa"/>
            </w:tcMar>
            <w:vAlign w:val="center"/>
          </w:tcPr>
          <w:p>
            <w:pPr>
              <w:spacing w:after="0" w:line="259" w:lineRule="auto"/>
            </w:pPr>
            <w:r>
              <w:rPr>
                <w:rFonts w:ascii="Aptos" w:hAnsi="Aptos"/>
                <w:color w:val="1E252B"/>
                <w:sz w:val="15"/>
              </w:rPr>
              <w:t>Independent enough that a compromised runner cannot rewrite history.</w:t>
            </w:r>
          </w:p>
        </w:tc>
      </w:tr>
    </w:tbl>
    <w:p>
      <w:pPr>
        <w:spacing w:after="40"/>
      </w:pPr>
    </w:p>
    <w:p>
      <w:pPr>
        <w:pStyle w:val="Heading2"/>
        <w:keepNext/>
      </w:pPr>
      <w:r>
        <w:t>3.2 Distributed control without unsafe consensus</w:t>
      </w:r>
    </w:p>
    <w:p>
      <w:pPr/>
      <w:r>
        <w:rPr>
          <w:rFonts w:ascii="Aptos" w:hAnsi="Aptos"/>
          <w:color w:val="1E252B"/>
        </w:rPr>
        <w:t>The ASUS-VPS design is functionally distributed, not a symmetric two-controller cluster. ASUS is the normal execution coordinator for environments assigned to it. VPS provides edge, observation, durable cache, and recovery support. Mac supplies owner intent, policy decisions, and high-trust approval; it is not required to remain online for previously authorized routine work. A control handoff is permitted only when predeclared policy allows it and the previous writer is fenced or its lease is provably expired. No node may self-elect as authority. Where fencing cannot be proven, Nyvora freezes mutations and preserves observability.</w:t>
      </w:r>
    </w:p>
    <w:p>
      <w:pPr>
        <w:pStyle w:val="NyvoraCallout"/>
        <w:shd w:fill="FDEEEE"/>
        <w:keepLines/>
        <w:pBdr>
          <w:left w:val="single" w:sz="18" w:space="8" w:color="9B2C2C"/>
        </w:pBdr>
      </w:pPr>
      <w:r>
        <w:rPr>
          <w:rFonts w:ascii="Aptos" w:hAnsi="Aptos"/>
          <w:b/>
          <w:color w:val="9B2C2C"/>
          <w:sz w:val="18"/>
        </w:rPr>
        <w:t xml:space="preserve">INVARIANT  </w:t>
      </w:r>
      <w:r>
        <w:rPr>
          <w:rFonts w:ascii="Aptos" w:hAnsi="Aptos"/>
          <w:color w:val="1E252B"/>
          <w:sz w:val="21"/>
        </w:rPr>
        <w:t>At most one active runtime writer may mutate a given environment at a time. GitHub, the Mac owner plane, PostgreSQL, NATS, and evidence stores do not become runtime writers by holding desired state, approval records, runtime state, transport, or receipts. Availability must never be purchased by allowing two nodes to believe they are authoritative.</w:t>
      </w:r>
    </w:p>
    <w:p>
      <w:pPr>
        <w:pStyle w:val="Heading2"/>
        <w:keepNext/>
      </w:pPr>
      <w:r>
        <w:t>3.3 Connectivity model</w:t>
      </w:r>
    </w:p>
    <w:p>
      <w:pPr>
        <w:pStyle w:val="NyvoraList"/>
        <w:numPr>
          <w:ilvl w:val="0"/>
          <w:numId w:val="10"/>
        </w:numPr>
      </w:pPr>
      <w:r>
        <w:rPr>
          <w:rFonts w:ascii="Aptos" w:hAnsi="Aptos"/>
          <w:color w:val="1E252B"/>
        </w:rPr>
        <w:t xml:space="preserve"> Private overlay or VPN connectivity is the normal administrative and service path.</w:t>
      </w:r>
    </w:p>
    <w:p>
      <w:pPr>
        <w:pStyle w:val="NyvoraList"/>
        <w:numPr>
          <w:ilvl w:val="0"/>
          <w:numId w:val="10"/>
        </w:numPr>
      </w:pPr>
      <w:r>
        <w:rPr>
          <w:rFonts w:ascii="Aptos" w:hAnsi="Aptos"/>
          <w:color w:val="1E252B"/>
        </w:rPr>
        <w:t xml:space="preserve"> VPS may expose explicitly approved public ingress; private services remain private by default.</w:t>
      </w:r>
    </w:p>
    <w:p>
      <w:pPr>
        <w:pStyle w:val="NyvoraList"/>
        <w:numPr>
          <w:ilvl w:val="0"/>
          <w:numId w:val="10"/>
        </w:numPr>
      </w:pPr>
      <w:r>
        <w:rPr>
          <w:rFonts w:ascii="Aptos" w:hAnsi="Aptos"/>
          <w:color w:val="1E252B"/>
        </w:rPr>
        <w:t xml:space="preserve"> Node control uses authenticated outbound reconciliation where practical.</w:t>
      </w:r>
    </w:p>
    <w:p>
      <w:pPr>
        <w:pStyle w:val="NyvoraList"/>
        <w:numPr>
          <w:ilvl w:val="0"/>
          <w:numId w:val="10"/>
        </w:numPr>
      </w:pPr>
      <w:r>
        <w:rPr>
          <w:rFonts w:ascii="Aptos" w:hAnsi="Aptos"/>
          <w:color w:val="1E252B"/>
        </w:rPr>
        <w:t xml:space="preserve"> At least one provider-console or equivalent out-of-band recovery path must exist independently of the normal relay.</w:t>
      </w:r>
    </w:p>
    <w:p>
      <w:pPr>
        <w:pStyle w:val="NyvoraList"/>
        <w:numPr>
          <w:ilvl w:val="0"/>
          <w:numId w:val="10"/>
        </w:numPr>
      </w:pPr>
      <w:r>
        <w:rPr>
          <w:rFonts w:ascii="Aptos" w:hAnsi="Aptos"/>
          <w:color w:val="1E252B"/>
        </w:rPr>
        <w:t xml:space="preserve"> DNS and public-edge availability are separate from private bootstrap and internal operation.</w:t>
      </w:r>
    </w:p>
    <w:p>
      <w:pPr>
        <w:pStyle w:val="Heading1"/>
        <w:keepNext/>
      </w:pPr>
      <w:r>
        <w:t>4. Authority, identity, and trust</w:t>
      </w:r>
    </w:p>
    <w:p>
      <w:pPr>
        <w:pStyle w:val="Heading2"/>
        <w:keepNext/>
      </w:pPr>
      <w:r>
        <w:t>4.1 Authority hierarchy</w:t>
      </w:r>
    </w:p>
    <w:tbl>
      <w:tblPr>
        <w:tblStyle w:val="TableGrid"/>
        <w:tblW w:type="dxa" w:w="9360"/>
        <w:tblLayout w:type="fixed"/>
        <w:tblLook w:firstColumn="1" w:firstRow="1" w:lastColumn="0" w:lastRow="0" w:noHBand="0" w:noVBand="1" w:val="04A0"/>
        <w:jc w:val="left"/>
        <w:tblInd w:w="130" w:type="dxa"/>
      </w:tblPr>
      <w:tblGrid>
        <w:gridCol w:w="700"/>
        <w:gridCol w:w="2520"/>
        <w:gridCol w:w="6140"/>
      </w:tblGrid>
      <w:tr>
        <w:trPr>
          <w:tblHeader w:val="true"/>
          <w:cantSplit/>
        </w:trPr>
        <w:tc>
          <w:tcPr>
            <w:tcW w:type="dxa" w:w="700"/>
            <w:tcMar>
              <w:top w:w="100" w:type="dxa"/>
              <w:start w:w="130" w:type="dxa"/>
              <w:bottom w:w="100" w:type="dxa"/>
              <w:end w:w="130" w:type="dxa"/>
            </w:tcMar>
            <w:vAlign w:val="center"/>
            <w:shd w:fill="14213D"/>
          </w:tcPr>
          <w:p>
            <w:pPr>
              <w:spacing w:after="0"/>
              <w:jc w:val="left"/>
            </w:pPr>
            <w:r>
              <w:rPr>
                <w:rFonts w:ascii="Aptos" w:hAnsi="Aptos"/>
                <w:b/>
                <w:color w:val="FFFFFF"/>
                <w:sz w:val="16"/>
              </w:rPr>
              <w:t>#</w:t>
            </w:r>
          </w:p>
        </w:tc>
        <w:tc>
          <w:tcPr>
            <w:tcW w:type="dxa" w:w="2520"/>
            <w:tcMar>
              <w:top w:w="100" w:type="dxa"/>
              <w:start w:w="130" w:type="dxa"/>
              <w:bottom w:w="100" w:type="dxa"/>
              <w:end w:w="130" w:type="dxa"/>
            </w:tcMar>
            <w:vAlign w:val="center"/>
            <w:shd w:fill="14213D"/>
          </w:tcPr>
          <w:p>
            <w:pPr>
              <w:spacing w:after="0"/>
              <w:jc w:val="left"/>
            </w:pPr>
            <w:r>
              <w:rPr>
                <w:rFonts w:ascii="Aptos" w:hAnsi="Aptos"/>
                <w:b/>
                <w:color w:val="FFFFFF"/>
                <w:sz w:val="16"/>
              </w:rPr>
              <w:t>Authority layer</w:t>
            </w:r>
          </w:p>
        </w:tc>
        <w:tc>
          <w:tcPr>
            <w:tcW w:type="dxa" w:w="6140"/>
            <w:tcMar>
              <w:top w:w="100" w:type="dxa"/>
              <w:start w:w="130" w:type="dxa"/>
              <w:bottom w:w="100" w:type="dxa"/>
              <w:end w:w="130" w:type="dxa"/>
            </w:tcMar>
            <w:vAlign w:val="center"/>
            <w:shd w:fill="14213D"/>
          </w:tcPr>
          <w:p>
            <w:pPr>
              <w:spacing w:after="0"/>
              <w:jc w:val="left"/>
            </w:pPr>
            <w:r>
              <w:rPr>
                <w:rFonts w:ascii="Aptos" w:hAnsi="Aptos"/>
                <w:b/>
                <w:color w:val="FFFFFF"/>
                <w:sz w:val="16"/>
              </w:rPr>
              <w:t>Function</w:t>
            </w:r>
          </w:p>
        </w:tc>
      </w:tr>
      <w:tr>
        <w:trPr>
          <w:cantSplit/>
        </w:trPr>
        <w:tc>
          <w:tcPr>
            <w:tcW w:type="dxa" w:w="700"/>
            <w:tcMar>
              <w:top w:w="100" w:type="dxa"/>
              <w:start w:w="130" w:type="dxa"/>
              <w:bottom w:w="100" w:type="dxa"/>
              <w:end w:w="130" w:type="dxa"/>
            </w:tcMar>
            <w:vAlign w:val="center"/>
          </w:tcPr>
          <w:p>
            <w:pPr>
              <w:spacing w:after="0" w:line="259" w:lineRule="auto"/>
            </w:pPr>
            <w:r>
              <w:rPr>
                <w:rFonts w:ascii="Aptos" w:hAnsi="Aptos"/>
                <w:color w:val="1E252B"/>
                <w:sz w:val="17"/>
              </w:rPr>
              <w:t>1</w:t>
            </w:r>
          </w:p>
        </w:tc>
        <w:tc>
          <w:tcPr>
            <w:tcW w:type="dxa" w:w="2520"/>
            <w:tcMar>
              <w:top w:w="100" w:type="dxa"/>
              <w:start w:w="130" w:type="dxa"/>
              <w:bottom w:w="100" w:type="dxa"/>
              <w:end w:w="130" w:type="dxa"/>
            </w:tcMar>
            <w:vAlign w:val="center"/>
          </w:tcPr>
          <w:p>
            <w:pPr>
              <w:spacing w:after="0" w:line="259" w:lineRule="auto"/>
            </w:pPr>
            <w:r>
              <w:rPr>
                <w:rFonts w:ascii="Aptos" w:hAnsi="Aptos"/>
                <w:color w:val="1E252B"/>
                <w:sz w:val="17"/>
              </w:rPr>
              <w:t>Owner recovery authority</w:t>
            </w:r>
          </w:p>
        </w:tc>
        <w:tc>
          <w:tcPr>
            <w:tcW w:type="dxa" w:w="6140"/>
            <w:tcMar>
              <w:top w:w="100" w:type="dxa"/>
              <w:start w:w="130" w:type="dxa"/>
              <w:bottom w:w="100" w:type="dxa"/>
              <w:end w:w="130" w:type="dxa"/>
            </w:tcMar>
            <w:vAlign w:val="center"/>
          </w:tcPr>
          <w:p>
            <w:pPr>
              <w:spacing w:after="0" w:line="259" w:lineRule="auto"/>
            </w:pPr>
            <w:r>
              <w:rPr>
                <w:rFonts w:ascii="Aptos" w:hAnsi="Aptos"/>
                <w:color w:val="1E252B"/>
                <w:sz w:val="17"/>
              </w:rPr>
              <w:t>Vahid-controlled recovery root and explicit irreversible-action approval.</w:t>
            </w:r>
          </w:p>
        </w:tc>
      </w:tr>
      <w:tr>
        <w:trPr>
          <w:cantSplit/>
        </w:trPr>
        <w:tc>
          <w:tcPr>
            <w:tcW w:type="dxa" w:w="700"/>
            <w:shd w:fill="F7F9FB"/>
            <w:tcMar>
              <w:top w:w="100" w:type="dxa"/>
              <w:start w:w="130" w:type="dxa"/>
              <w:bottom w:w="100" w:type="dxa"/>
              <w:end w:w="130" w:type="dxa"/>
            </w:tcMar>
            <w:vAlign w:val="center"/>
          </w:tcPr>
          <w:p>
            <w:pPr>
              <w:spacing w:after="0" w:line="259" w:lineRule="auto"/>
            </w:pPr>
            <w:r>
              <w:rPr>
                <w:rFonts w:ascii="Aptos" w:hAnsi="Aptos"/>
                <w:color w:val="1E252B"/>
                <w:sz w:val="17"/>
              </w:rPr>
              <w:t>2</w:t>
            </w:r>
          </w:p>
        </w:tc>
        <w:tc>
          <w:tcPr>
            <w:tcW w:type="dxa" w:w="2520"/>
            <w:shd w:fill="F7F9FB"/>
            <w:tcMar>
              <w:top w:w="100" w:type="dxa"/>
              <w:start w:w="130" w:type="dxa"/>
              <w:bottom w:w="100" w:type="dxa"/>
              <w:end w:w="130" w:type="dxa"/>
            </w:tcMar>
            <w:vAlign w:val="center"/>
          </w:tcPr>
          <w:p>
            <w:pPr>
              <w:spacing w:after="0" w:line="259" w:lineRule="auto"/>
            </w:pPr>
            <w:r>
              <w:rPr>
                <w:rFonts w:ascii="Aptos" w:hAnsi="Aptos"/>
                <w:color w:val="1E252B"/>
                <w:sz w:val="17"/>
              </w:rPr>
              <w:t>Approved desired state</w:t>
            </w:r>
          </w:p>
        </w:tc>
        <w:tc>
          <w:tcPr>
            <w:tcW w:type="dxa" w:w="6140"/>
            <w:shd w:fill="F7F9FB"/>
            <w:tcMar>
              <w:top w:w="100" w:type="dxa"/>
              <w:start w:w="130" w:type="dxa"/>
              <w:bottom w:w="100" w:type="dxa"/>
              <w:end w:w="130" w:type="dxa"/>
            </w:tcMar>
            <w:vAlign w:val="center"/>
          </w:tcPr>
          <w:p>
            <w:pPr>
              <w:spacing w:after="0" w:line="259" w:lineRule="auto"/>
            </w:pPr>
            <w:r>
              <w:rPr>
                <w:rFonts w:ascii="Aptos" w:hAnsi="Aptos"/>
                <w:color w:val="1E252B"/>
                <w:sz w:val="17"/>
              </w:rPr>
              <w:t>Protected GitHub commits, tags, releases, policies, and environment approvals.</w:t>
            </w:r>
          </w:p>
        </w:tc>
      </w:tr>
      <w:tr>
        <w:trPr>
          <w:cantSplit/>
        </w:trPr>
        <w:tc>
          <w:tcPr>
            <w:tcW w:type="dxa" w:w="700"/>
            <w:tcMar>
              <w:top w:w="100" w:type="dxa"/>
              <w:start w:w="130" w:type="dxa"/>
              <w:bottom w:w="100" w:type="dxa"/>
              <w:end w:w="130" w:type="dxa"/>
            </w:tcMar>
            <w:vAlign w:val="center"/>
          </w:tcPr>
          <w:p>
            <w:pPr>
              <w:spacing w:after="0" w:line="259" w:lineRule="auto"/>
            </w:pPr>
            <w:r>
              <w:rPr>
                <w:rFonts w:ascii="Aptos" w:hAnsi="Aptos"/>
                <w:color w:val="1E252B"/>
                <w:sz w:val="17"/>
              </w:rPr>
              <w:t>3</w:t>
            </w:r>
          </w:p>
        </w:tc>
        <w:tc>
          <w:tcPr>
            <w:tcW w:type="dxa" w:w="2520"/>
            <w:tcMar>
              <w:top w:w="100" w:type="dxa"/>
              <w:start w:w="130" w:type="dxa"/>
              <w:bottom w:w="100" w:type="dxa"/>
              <w:end w:w="130" w:type="dxa"/>
            </w:tcMar>
            <w:vAlign w:val="center"/>
          </w:tcPr>
          <w:p>
            <w:pPr>
              <w:spacing w:after="0" w:line="259" w:lineRule="auto"/>
            </w:pPr>
            <w:r>
              <w:rPr>
                <w:rFonts w:ascii="Aptos" w:hAnsi="Aptos"/>
                <w:color w:val="1E252B"/>
                <w:sz w:val="17"/>
              </w:rPr>
              <w:t>Nyvora policy engine</w:t>
            </w:r>
          </w:p>
        </w:tc>
        <w:tc>
          <w:tcPr>
            <w:tcW w:type="dxa" w:w="6140"/>
            <w:tcMar>
              <w:top w:w="100" w:type="dxa"/>
              <w:start w:w="130" w:type="dxa"/>
              <w:bottom w:w="100" w:type="dxa"/>
              <w:end w:w="130" w:type="dxa"/>
            </w:tcMar>
            <w:vAlign w:val="center"/>
          </w:tcPr>
          <w:p>
            <w:pPr>
              <w:spacing w:after="0" w:line="259" w:lineRule="auto"/>
            </w:pPr>
            <w:r>
              <w:rPr>
                <w:rFonts w:ascii="Aptos" w:hAnsi="Aptos"/>
                <w:color w:val="1E252B"/>
                <w:sz w:val="17"/>
              </w:rPr>
              <w:t>Validates provenance, risk, preconditions, scope, lease, credentials, and rollback.</w:t>
            </w:r>
          </w:p>
        </w:tc>
      </w:tr>
      <w:tr>
        <w:trPr>
          <w:cantSplit/>
        </w:trPr>
        <w:tc>
          <w:tcPr>
            <w:tcW w:type="dxa" w:w="700"/>
            <w:shd w:fill="F7F9FB"/>
            <w:tcMar>
              <w:top w:w="100" w:type="dxa"/>
              <w:start w:w="130" w:type="dxa"/>
              <w:bottom w:w="100" w:type="dxa"/>
              <w:end w:w="130" w:type="dxa"/>
            </w:tcMar>
            <w:vAlign w:val="center"/>
          </w:tcPr>
          <w:p>
            <w:pPr>
              <w:spacing w:after="0" w:line="259" w:lineRule="auto"/>
            </w:pPr>
            <w:r>
              <w:rPr>
                <w:rFonts w:ascii="Aptos" w:hAnsi="Aptos"/>
                <w:color w:val="1E252B"/>
                <w:sz w:val="17"/>
              </w:rPr>
              <w:t>4</w:t>
            </w:r>
          </w:p>
        </w:tc>
        <w:tc>
          <w:tcPr>
            <w:tcW w:type="dxa" w:w="2520"/>
            <w:shd w:fill="F7F9FB"/>
            <w:tcMar>
              <w:top w:w="100" w:type="dxa"/>
              <w:start w:w="130" w:type="dxa"/>
              <w:bottom w:w="100" w:type="dxa"/>
              <w:end w:w="130" w:type="dxa"/>
            </w:tcMar>
            <w:vAlign w:val="center"/>
          </w:tcPr>
          <w:p>
            <w:pPr>
              <w:spacing w:after="0" w:line="259" w:lineRule="auto"/>
            </w:pPr>
            <w:r>
              <w:rPr>
                <w:rFonts w:ascii="Aptos" w:hAnsi="Aptos"/>
                <w:color w:val="1E252B"/>
                <w:sz w:val="17"/>
              </w:rPr>
              <w:t>Node executor</w:t>
            </w:r>
          </w:p>
        </w:tc>
        <w:tc>
          <w:tcPr>
            <w:tcW w:type="dxa" w:w="6140"/>
            <w:shd w:fill="F7F9FB"/>
            <w:tcMar>
              <w:top w:w="100" w:type="dxa"/>
              <w:start w:w="130" w:type="dxa"/>
              <w:bottom w:w="100" w:type="dxa"/>
              <w:end w:w="130" w:type="dxa"/>
            </w:tcMar>
            <w:vAlign w:val="center"/>
          </w:tcPr>
          <w:p>
            <w:pPr>
              <w:spacing w:after="0" w:line="259" w:lineRule="auto"/>
            </w:pPr>
            <w:r>
              <w:rPr>
                <w:rFonts w:ascii="Aptos" w:hAnsi="Aptos"/>
                <w:color w:val="1E252B"/>
                <w:sz w:val="17"/>
              </w:rPr>
              <w:t>Performs only the authorized action envelope within its environment.</w:t>
            </w:r>
          </w:p>
        </w:tc>
      </w:tr>
      <w:tr>
        <w:trPr>
          <w:cantSplit/>
        </w:trPr>
        <w:tc>
          <w:tcPr>
            <w:tcW w:type="dxa" w:w="700"/>
            <w:tcMar>
              <w:top w:w="100" w:type="dxa"/>
              <w:start w:w="130" w:type="dxa"/>
              <w:bottom w:w="100" w:type="dxa"/>
              <w:end w:w="130" w:type="dxa"/>
            </w:tcMar>
            <w:vAlign w:val="center"/>
          </w:tcPr>
          <w:p>
            <w:pPr>
              <w:spacing w:after="0" w:line="259" w:lineRule="auto"/>
            </w:pPr>
            <w:r>
              <w:rPr>
                <w:rFonts w:ascii="Aptos" w:hAnsi="Aptos"/>
                <w:color w:val="1E252B"/>
                <w:sz w:val="17"/>
              </w:rPr>
              <w:t>5</w:t>
            </w:r>
          </w:p>
        </w:tc>
        <w:tc>
          <w:tcPr>
            <w:tcW w:type="dxa" w:w="2520"/>
            <w:tcMar>
              <w:top w:w="100" w:type="dxa"/>
              <w:start w:w="130" w:type="dxa"/>
              <w:bottom w:w="100" w:type="dxa"/>
              <w:end w:w="130" w:type="dxa"/>
            </w:tcMar>
            <w:vAlign w:val="center"/>
          </w:tcPr>
          <w:p>
            <w:pPr>
              <w:spacing w:after="0" w:line="259" w:lineRule="auto"/>
            </w:pPr>
            <w:r>
              <w:rPr>
                <w:rFonts w:ascii="Aptos" w:hAnsi="Aptos"/>
                <w:color w:val="1E252B"/>
                <w:sz w:val="17"/>
              </w:rPr>
              <w:t>Runtime state and transport</w:t>
            </w:r>
          </w:p>
        </w:tc>
        <w:tc>
          <w:tcPr>
            <w:tcW w:type="dxa" w:w="6140"/>
            <w:tcMar>
              <w:top w:w="100" w:type="dxa"/>
              <w:start w:w="130" w:type="dxa"/>
              <w:bottom w:w="100" w:type="dxa"/>
              <w:end w:w="130" w:type="dxa"/>
            </w:tcMar>
            <w:vAlign w:val="center"/>
          </w:tcPr>
          <w:p>
            <w:pPr>
              <w:spacing w:after="0" w:line="259" w:lineRule="auto"/>
            </w:pPr>
            <w:r>
              <w:rPr>
                <w:rFonts w:ascii="Aptos" w:hAnsi="Aptos"/>
                <w:color w:val="1E252B"/>
                <w:sz w:val="17"/>
              </w:rPr>
              <w:t>PostgreSQL, NATS, caches, telemetry, and queues inform execution but never create authority.</w:t>
            </w:r>
          </w:p>
        </w:tc>
      </w:tr>
    </w:tbl>
    <w:p>
      <w:pPr>
        <w:spacing w:after="40"/>
      </w:pPr>
    </w:p>
    <w:p>
      <w:pPr>
        <w:pStyle w:val="Heading2"/>
        <w:keepNext/>
      </w:pPr>
      <w:r>
        <w:t>4.2 Recommended trust model</w:t>
      </w:r>
    </w:p>
    <w:p>
      <w:pPr>
        <w:pStyle w:val="NyvoraCallout"/>
        <w:shd w:fill="DDF3F1"/>
        <w:keepLines/>
        <w:pBdr>
          <w:left w:val="single" w:sz="18" w:space="8" w:color="248A84"/>
        </w:pBdr>
      </w:pPr>
      <w:r>
        <w:rPr>
          <w:rFonts w:ascii="Aptos" w:hAnsi="Aptos"/>
          <w:b/>
          <w:color w:val="248A84"/>
          <w:sz w:val="18"/>
        </w:rPr>
        <w:t xml:space="preserve">DECISION  </w:t>
      </w:r>
      <w:r>
        <w:rPr>
          <w:rFonts w:ascii="Aptos" w:hAnsi="Aptos"/>
          <w:color w:val="1E252B"/>
          <w:sz w:val="21"/>
        </w:rPr>
        <w:t>Use an owner-rooted, per-environment trust model. The Mac is the primary high-trust owner plane and approval client, but recovery authority must not exist only as live material on the Mac.</w:t>
      </w:r>
    </w:p>
    <w:p>
      <w:pPr>
        <w:pStyle w:val="NyvoraList"/>
        <w:numPr>
          <w:ilvl w:val="0"/>
          <w:numId w:val="10"/>
        </w:numPr>
      </w:pPr>
      <w:r>
        <w:rPr>
          <w:rFonts w:ascii="Aptos" w:hAnsi="Aptos"/>
          <w:color w:val="1E252B"/>
        </w:rPr>
        <w:t xml:space="preserve"> Keep the owner recovery root encrypted and recoverable through a separately stored offline procedure.</w:t>
      </w:r>
    </w:p>
    <w:p>
      <w:pPr>
        <w:pStyle w:val="NyvoraList"/>
        <w:numPr>
          <w:ilvl w:val="0"/>
          <w:numId w:val="10"/>
        </w:numPr>
      </w:pPr>
      <w:r>
        <w:rPr>
          <w:rFonts w:ascii="Aptos" w:hAnsi="Aptos"/>
          <w:color w:val="1E252B"/>
        </w:rPr>
        <w:t xml:space="preserve"> Issue distinct node and workload identities; never reuse one broad machine credential across environments.</w:t>
      </w:r>
    </w:p>
    <w:p>
      <w:pPr>
        <w:pStyle w:val="NyvoraList"/>
        <w:numPr>
          <w:ilvl w:val="0"/>
          <w:numId w:val="10"/>
        </w:numPr>
      </w:pPr>
      <w:r>
        <w:rPr>
          <w:rFonts w:ascii="Aptos" w:hAnsi="Aptos"/>
          <w:color w:val="1E252B"/>
        </w:rPr>
        <w:t xml:space="preserve"> Use short-lived or just-in-time credentials where supported, including GitHub OIDC for workflows.</w:t>
      </w:r>
    </w:p>
    <w:p>
      <w:pPr>
        <w:pStyle w:val="NyvoraList"/>
        <w:numPr>
          <w:ilvl w:val="0"/>
          <w:numId w:val="10"/>
        </w:numPr>
      </w:pPr>
      <w:r>
        <w:rPr>
          <w:rFonts w:ascii="Aptos" w:hAnsi="Aptos"/>
          <w:color w:val="1E252B"/>
        </w:rPr>
        <w:t xml:space="preserve"> Store runtime secrets in a dedicated secrets capability, not in repositories, workflow logs, container images, PostgreSQL rows, or NATS messages.</w:t>
      </w:r>
    </w:p>
    <w:p>
      <w:pPr>
        <w:pStyle w:val="NyvoraList"/>
        <w:numPr>
          <w:ilvl w:val="0"/>
          <w:numId w:val="10"/>
        </w:numPr>
      </w:pPr>
      <w:r>
        <w:rPr>
          <w:rFonts w:ascii="Aptos" w:hAnsi="Aptos"/>
          <w:color w:val="1E252B"/>
        </w:rPr>
        <w:t xml:space="preserve"> Separate development, testing, and operational trust domains so compromise does not automatically cross environments.</w:t>
      </w:r>
    </w:p>
    <w:p>
      <w:pPr>
        <w:pStyle w:val="NyvoraList"/>
        <w:numPr>
          <w:ilvl w:val="0"/>
          <w:numId w:val="10"/>
        </w:numPr>
      </w:pPr>
      <w:r>
        <w:rPr>
          <w:rFonts w:ascii="Aptos" w:hAnsi="Aptos"/>
          <w:color w:val="1E252B"/>
        </w:rPr>
        <w:t xml:space="preserve"> Permit an agent to request capabilities; never permit it to expand its own policy or credential scope.</w:t>
      </w:r>
    </w:p>
    <w:p>
      <w:pPr>
        <w:pStyle w:val="Heading2"/>
        <w:keepNext/>
      </w:pPr>
      <w:r>
        <w:t>4.3 Human approval boundary</w:t>
      </w:r>
    </w:p>
    <w:p>
      <w:pPr/>
      <w:r>
        <w:rPr>
          <w:rFonts w:ascii="Aptos" w:hAnsi="Aptos"/>
          <w:color w:val="1E252B"/>
        </w:rPr>
        <w:t>Only actions classified R4 always require explicit owner approval. R0–R3 may run automatically only under valid policy, bounded scope, and verified safety conditions. This is intentionally high autonomy, so irreversibility must be defined conservatively.</w:t>
      </w:r>
    </w:p>
    <w:p>
      <w:pPr>
        <w:pStyle w:val="NyvoraCallout"/>
        <w:shd w:fill="FFF6DB"/>
        <w:keepLines/>
        <w:pBdr>
          <w:left w:val="single" w:sz="18" w:space="8" w:color="8A6508"/>
        </w:pBdr>
      </w:pPr>
      <w:r>
        <w:rPr>
          <w:rFonts w:ascii="Aptos" w:hAnsi="Aptos"/>
          <w:b/>
          <w:color w:val="8A6508"/>
          <w:sz w:val="18"/>
        </w:rPr>
        <w:t xml:space="preserve">IRREVERSIBLE-ACTION RULE  </w:t>
      </w:r>
      <w:r>
        <w:rPr>
          <w:rFonts w:ascii="Aptos" w:hAnsi="Aptos"/>
          <w:color w:val="1E252B"/>
          <w:sz w:val="21"/>
        </w:rPr>
        <w:t>An action is irreversible when Nyvora cannot prove a bounded recovery path within the applicable recovery objective. Missing, stale, untested, or unverifiable rollback evidence makes the action irreversible by default.</w:t>
      </w:r>
    </w:p>
    <w:tbl>
      <w:tblPr>
        <w:tblStyle w:val="TableGrid"/>
        <w:tblW w:type="dxa" w:w="9360"/>
        <w:tblLayout w:type="fixed"/>
        <w:tblLook w:firstColumn="1" w:firstRow="1" w:lastColumn="0" w:lastRow="0" w:noHBand="0" w:noVBand="1" w:val="04A0"/>
        <w:jc w:val="left"/>
        <w:tblInd w:w="130" w:type="dxa"/>
      </w:tblPr>
      <w:tblGrid>
        <w:gridCol w:w="1600"/>
        <w:gridCol w:w="4620"/>
        <w:gridCol w:w="3140"/>
      </w:tblGrid>
      <w:tr>
        <w:trPr>
          <w:tblHeader w:val="true"/>
          <w:cantSplit/>
        </w:trPr>
        <w:tc>
          <w:tcPr>
            <w:tcW w:type="dxa" w:w="1600"/>
            <w:tcMar>
              <w:top w:w="100" w:type="dxa"/>
              <w:start w:w="130" w:type="dxa"/>
              <w:bottom w:w="100" w:type="dxa"/>
              <w:end w:w="130" w:type="dxa"/>
            </w:tcMar>
            <w:vAlign w:val="center"/>
            <w:shd w:fill="14213D"/>
          </w:tcPr>
          <w:p>
            <w:pPr>
              <w:spacing w:after="0"/>
              <w:jc w:val="left"/>
            </w:pPr>
            <w:r>
              <w:rPr>
                <w:rFonts w:ascii="Aptos" w:hAnsi="Aptos"/>
                <w:b/>
                <w:color w:val="FFFFFF"/>
                <w:sz w:val="16"/>
              </w:rPr>
              <w:t>Class</w:t>
            </w:r>
          </w:p>
        </w:tc>
        <w:tc>
          <w:tcPr>
            <w:tcW w:type="dxa" w:w="4620"/>
            <w:tcMar>
              <w:top w:w="100" w:type="dxa"/>
              <w:start w:w="130" w:type="dxa"/>
              <w:bottom w:w="100" w:type="dxa"/>
              <w:end w:w="130" w:type="dxa"/>
            </w:tcMar>
            <w:vAlign w:val="center"/>
            <w:shd w:fill="14213D"/>
          </w:tcPr>
          <w:p>
            <w:pPr>
              <w:spacing w:after="0"/>
              <w:jc w:val="left"/>
            </w:pPr>
            <w:r>
              <w:rPr>
                <w:rFonts w:ascii="Aptos" w:hAnsi="Aptos"/>
                <w:b/>
                <w:color w:val="FFFFFF"/>
                <w:sz w:val="16"/>
              </w:rPr>
              <w:t>Typical meaning</w:t>
            </w:r>
          </w:p>
        </w:tc>
        <w:tc>
          <w:tcPr>
            <w:tcW w:type="dxa" w:w="3140"/>
            <w:tcMar>
              <w:top w:w="100" w:type="dxa"/>
              <w:start w:w="130" w:type="dxa"/>
              <w:bottom w:w="100" w:type="dxa"/>
              <w:end w:w="130" w:type="dxa"/>
            </w:tcMar>
            <w:vAlign w:val="center"/>
            <w:shd w:fill="14213D"/>
          </w:tcPr>
          <w:p>
            <w:pPr>
              <w:spacing w:after="0"/>
              <w:jc w:val="left"/>
            </w:pPr>
            <w:r>
              <w:rPr>
                <w:rFonts w:ascii="Aptos" w:hAnsi="Aptos"/>
                <w:b/>
                <w:color w:val="FFFFFF"/>
                <w:sz w:val="16"/>
              </w:rPr>
              <w:t>Default disposition</w:t>
            </w:r>
          </w:p>
        </w:tc>
      </w:tr>
      <w:tr>
        <w:trPr>
          <w:cantSplit/>
        </w:trPr>
        <w:tc>
          <w:tcPr>
            <w:tcW w:type="dxa" w:w="1600"/>
            <w:tcMar>
              <w:top w:w="100" w:type="dxa"/>
              <w:start w:w="130" w:type="dxa"/>
              <w:bottom w:w="100" w:type="dxa"/>
              <w:end w:w="130" w:type="dxa"/>
            </w:tcMar>
            <w:vAlign w:val="center"/>
          </w:tcPr>
          <w:p>
            <w:pPr>
              <w:spacing w:after="0" w:line="259" w:lineRule="auto"/>
            </w:pPr>
            <w:r>
              <w:rPr>
                <w:rFonts w:ascii="Aptos" w:hAnsi="Aptos"/>
                <w:color w:val="1E252B"/>
                <w:sz w:val="16"/>
              </w:rPr>
              <w:t>R0 · Observe</w:t>
            </w:r>
          </w:p>
        </w:tc>
        <w:tc>
          <w:tcPr>
            <w:tcW w:type="dxa" w:w="4620"/>
            <w:tcMar>
              <w:top w:w="100" w:type="dxa"/>
              <w:start w:w="130" w:type="dxa"/>
              <w:bottom w:w="100" w:type="dxa"/>
              <w:end w:w="130" w:type="dxa"/>
            </w:tcMar>
            <w:vAlign w:val="center"/>
          </w:tcPr>
          <w:p>
            <w:pPr>
              <w:spacing w:after="0" w:line="259" w:lineRule="auto"/>
            </w:pPr>
            <w:r>
              <w:rPr>
                <w:rFonts w:ascii="Aptos" w:hAnsi="Aptos"/>
                <w:color w:val="1E252B"/>
                <w:sz w:val="16"/>
              </w:rPr>
              <w:t>Read-only inspection, inventory, diagnostics, planning.</w:t>
            </w:r>
          </w:p>
        </w:tc>
        <w:tc>
          <w:tcPr>
            <w:tcW w:type="dxa" w:w="3140"/>
            <w:tcMar>
              <w:top w:w="100" w:type="dxa"/>
              <w:start w:w="130" w:type="dxa"/>
              <w:bottom w:w="100" w:type="dxa"/>
              <w:end w:w="130" w:type="dxa"/>
            </w:tcMar>
            <w:vAlign w:val="center"/>
          </w:tcPr>
          <w:p>
            <w:pPr>
              <w:spacing w:after="0" w:line="259" w:lineRule="auto"/>
            </w:pPr>
            <w:r>
              <w:rPr>
                <w:rFonts w:ascii="Aptos" w:hAnsi="Aptos"/>
                <w:color w:val="1E252B"/>
                <w:sz w:val="16"/>
              </w:rPr>
              <w:t>Automatic.</w:t>
            </w:r>
          </w:p>
        </w:tc>
      </w:tr>
      <w:tr>
        <w:trPr>
          <w:cantSplit/>
        </w:trPr>
        <w:tc>
          <w:tcPr>
            <w:tcW w:type="dxa" w:w="1600"/>
            <w:shd w:fill="F7F9FB"/>
            <w:tcMar>
              <w:top w:w="100" w:type="dxa"/>
              <w:start w:w="130" w:type="dxa"/>
              <w:bottom w:w="100" w:type="dxa"/>
              <w:end w:w="130" w:type="dxa"/>
            </w:tcMar>
            <w:vAlign w:val="center"/>
          </w:tcPr>
          <w:p>
            <w:pPr>
              <w:spacing w:after="0" w:line="259" w:lineRule="auto"/>
            </w:pPr>
            <w:r>
              <w:rPr>
                <w:rFonts w:ascii="Aptos" w:hAnsi="Aptos"/>
                <w:color w:val="1E252B"/>
                <w:sz w:val="16"/>
              </w:rPr>
              <w:t>R1 · Routine reversible</w:t>
            </w:r>
          </w:p>
        </w:tc>
        <w:tc>
          <w:tcPr>
            <w:tcW w:type="dxa" w:w="4620"/>
            <w:shd w:fill="F7F9FB"/>
            <w:tcMar>
              <w:top w:w="100" w:type="dxa"/>
              <w:start w:w="130" w:type="dxa"/>
              <w:bottom w:w="100" w:type="dxa"/>
              <w:end w:w="130" w:type="dxa"/>
            </w:tcMar>
            <w:vAlign w:val="center"/>
          </w:tcPr>
          <w:p>
            <w:pPr>
              <w:spacing w:after="0" w:line="259" w:lineRule="auto"/>
            </w:pPr>
            <w:r>
              <w:rPr>
                <w:rFonts w:ascii="Aptos" w:hAnsi="Aptos"/>
                <w:color w:val="1E252B"/>
                <w:sz w:val="16"/>
              </w:rPr>
              <w:t>Restart, retry, reconcile drift, regenerate disposable state.</w:t>
            </w:r>
          </w:p>
        </w:tc>
        <w:tc>
          <w:tcPr>
            <w:tcW w:type="dxa" w:w="3140"/>
            <w:shd w:fill="F7F9FB"/>
            <w:tcMar>
              <w:top w:w="100" w:type="dxa"/>
              <w:start w:w="130" w:type="dxa"/>
              <w:bottom w:w="100" w:type="dxa"/>
              <w:end w:w="130" w:type="dxa"/>
            </w:tcMar>
            <w:vAlign w:val="center"/>
          </w:tcPr>
          <w:p>
            <w:pPr>
              <w:spacing w:after="0" w:line="259" w:lineRule="auto"/>
            </w:pPr>
            <w:r>
              <w:rPr>
                <w:rFonts w:ascii="Aptos" w:hAnsi="Aptos"/>
                <w:color w:val="1E252B"/>
                <w:sz w:val="16"/>
              </w:rPr>
              <w:t>Automatic under policy.</w:t>
            </w:r>
          </w:p>
        </w:tc>
      </w:tr>
      <w:tr>
        <w:trPr>
          <w:cantSplit/>
        </w:trPr>
        <w:tc>
          <w:tcPr>
            <w:tcW w:type="dxa" w:w="1600"/>
            <w:tcMar>
              <w:top w:w="100" w:type="dxa"/>
              <w:start w:w="130" w:type="dxa"/>
              <w:bottom w:w="100" w:type="dxa"/>
              <w:end w:w="130" w:type="dxa"/>
            </w:tcMar>
            <w:vAlign w:val="center"/>
          </w:tcPr>
          <w:p>
            <w:pPr>
              <w:spacing w:after="0" w:line="259" w:lineRule="auto"/>
            </w:pPr>
            <w:r>
              <w:rPr>
                <w:rFonts w:ascii="Aptos" w:hAnsi="Aptos"/>
                <w:color w:val="1E252B"/>
                <w:sz w:val="16"/>
              </w:rPr>
              <w:t>R2 · Bounded material</w:t>
            </w:r>
          </w:p>
        </w:tc>
        <w:tc>
          <w:tcPr>
            <w:tcW w:type="dxa" w:w="4620"/>
            <w:tcMar>
              <w:top w:w="100" w:type="dxa"/>
              <w:start w:w="130" w:type="dxa"/>
              <w:bottom w:w="100" w:type="dxa"/>
              <w:end w:w="130" w:type="dxa"/>
            </w:tcMar>
            <w:vAlign w:val="center"/>
          </w:tcPr>
          <w:p>
            <w:pPr>
              <w:spacing w:after="0" w:line="259" w:lineRule="auto"/>
            </w:pPr>
            <w:r>
              <w:rPr>
                <w:rFonts w:ascii="Aptos" w:hAnsi="Aptos"/>
                <w:color w:val="1E252B"/>
                <w:sz w:val="16"/>
              </w:rPr>
              <w:t>Signed deployment, tested package update, scoped configuration change.</w:t>
            </w:r>
          </w:p>
        </w:tc>
        <w:tc>
          <w:tcPr>
            <w:tcW w:type="dxa" w:w="3140"/>
            <w:tcMar>
              <w:top w:w="100" w:type="dxa"/>
              <w:start w:w="130" w:type="dxa"/>
              <w:bottom w:w="100" w:type="dxa"/>
              <w:end w:w="130" w:type="dxa"/>
            </w:tcMar>
            <w:vAlign w:val="center"/>
          </w:tcPr>
          <w:p>
            <w:pPr>
              <w:spacing w:after="0" w:line="259" w:lineRule="auto"/>
            </w:pPr>
            <w:r>
              <w:rPr>
                <w:rFonts w:ascii="Aptos" w:hAnsi="Aptos"/>
                <w:color w:val="1E252B"/>
                <w:sz w:val="16"/>
              </w:rPr>
              <w:t>Automatic after validation and rollback proof.</w:t>
            </w:r>
          </w:p>
        </w:tc>
      </w:tr>
      <w:tr>
        <w:trPr>
          <w:cantSplit/>
        </w:trPr>
        <w:tc>
          <w:tcPr>
            <w:tcW w:type="dxa" w:w="1600"/>
            <w:shd w:fill="F7F9FB"/>
            <w:tcMar>
              <w:top w:w="100" w:type="dxa"/>
              <w:start w:w="130" w:type="dxa"/>
              <w:bottom w:w="100" w:type="dxa"/>
              <w:end w:w="130" w:type="dxa"/>
            </w:tcMar>
            <w:vAlign w:val="center"/>
          </w:tcPr>
          <w:p>
            <w:pPr>
              <w:spacing w:after="0" w:line="259" w:lineRule="auto"/>
            </w:pPr>
            <w:r>
              <w:rPr>
                <w:rFonts w:ascii="Aptos" w:hAnsi="Aptos"/>
                <w:color w:val="1E252B"/>
                <w:sz w:val="16"/>
              </w:rPr>
              <w:t>R3 · Sensitive reversible</w:t>
            </w:r>
          </w:p>
        </w:tc>
        <w:tc>
          <w:tcPr>
            <w:tcW w:type="dxa" w:w="4620"/>
            <w:shd w:fill="F7F9FB"/>
            <w:tcMar>
              <w:top w:w="100" w:type="dxa"/>
              <w:start w:w="130" w:type="dxa"/>
              <w:bottom w:w="100" w:type="dxa"/>
              <w:end w:w="130" w:type="dxa"/>
            </w:tcMar>
            <w:vAlign w:val="center"/>
          </w:tcPr>
          <w:p>
            <w:pPr>
              <w:spacing w:after="0" w:line="259" w:lineRule="auto"/>
            </w:pPr>
            <w:r>
              <w:rPr>
                <w:rFonts w:ascii="Aptos" w:hAnsi="Aptos"/>
                <w:color w:val="1E252B"/>
                <w:sz w:val="16"/>
              </w:rPr>
              <w:t>Security, network, identity, production, cost, or public-edge change with independent recovery path.</w:t>
            </w:r>
          </w:p>
        </w:tc>
        <w:tc>
          <w:tcPr>
            <w:tcW w:type="dxa" w:w="3140"/>
            <w:shd w:fill="F7F9FB"/>
            <w:tcMar>
              <w:top w:w="100" w:type="dxa"/>
              <w:start w:w="130" w:type="dxa"/>
              <w:bottom w:w="100" w:type="dxa"/>
              <w:end w:w="130" w:type="dxa"/>
            </w:tcMar>
            <w:vAlign w:val="center"/>
          </w:tcPr>
          <w:p>
            <w:pPr>
              <w:spacing w:after="0" w:line="259" w:lineRule="auto"/>
            </w:pPr>
            <w:r>
              <w:rPr>
                <w:rFonts w:ascii="Aptos" w:hAnsi="Aptos"/>
                <w:color w:val="1E252B"/>
                <w:sz w:val="16"/>
              </w:rPr>
              <w:t>Automatic only under stronger policy and verification.</w:t>
            </w:r>
          </w:p>
        </w:tc>
      </w:tr>
      <w:tr>
        <w:trPr>
          <w:cantSplit/>
        </w:trPr>
        <w:tc>
          <w:tcPr>
            <w:tcW w:type="dxa" w:w="1600"/>
            <w:tcMar>
              <w:top w:w="100" w:type="dxa"/>
              <w:start w:w="130" w:type="dxa"/>
              <w:bottom w:w="100" w:type="dxa"/>
              <w:end w:w="130" w:type="dxa"/>
            </w:tcMar>
            <w:vAlign w:val="center"/>
          </w:tcPr>
          <w:p>
            <w:pPr>
              <w:spacing w:after="0" w:line="259" w:lineRule="auto"/>
            </w:pPr>
            <w:r>
              <w:rPr>
                <w:rFonts w:ascii="Aptos" w:hAnsi="Aptos"/>
                <w:color w:val="1E252B"/>
                <w:sz w:val="16"/>
              </w:rPr>
              <w:t>R4 · Irreversible</w:t>
            </w:r>
          </w:p>
        </w:tc>
        <w:tc>
          <w:tcPr>
            <w:tcW w:type="dxa" w:w="4620"/>
            <w:tcMar>
              <w:top w:w="100" w:type="dxa"/>
              <w:start w:w="130" w:type="dxa"/>
              <w:bottom w:w="100" w:type="dxa"/>
              <w:end w:w="130" w:type="dxa"/>
            </w:tcMar>
            <w:vAlign w:val="center"/>
          </w:tcPr>
          <w:p>
            <w:pPr>
              <w:spacing w:after="0" w:line="259" w:lineRule="auto"/>
            </w:pPr>
            <w:r>
              <w:rPr>
                <w:rFonts w:ascii="Aptos" w:hAnsi="Aptos"/>
                <w:color w:val="1E252B"/>
                <w:sz w:val="16"/>
              </w:rPr>
              <w:t>Permanent deletion, unrecoverable key destruction, destructive state transition without proven restore.</w:t>
            </w:r>
          </w:p>
        </w:tc>
        <w:tc>
          <w:tcPr>
            <w:tcW w:type="dxa" w:w="3140"/>
            <w:tcMar>
              <w:top w:w="100" w:type="dxa"/>
              <w:start w:w="130" w:type="dxa"/>
              <w:bottom w:w="100" w:type="dxa"/>
              <w:end w:w="130" w:type="dxa"/>
            </w:tcMar>
            <w:vAlign w:val="center"/>
          </w:tcPr>
          <w:p>
            <w:pPr>
              <w:spacing w:after="0" w:line="259" w:lineRule="auto"/>
            </w:pPr>
            <w:r>
              <w:rPr>
                <w:rFonts w:ascii="Aptos" w:hAnsi="Aptos"/>
                <w:color w:val="1E252B"/>
                <w:sz w:val="16"/>
              </w:rPr>
              <w:t>Owner approval always required.</w:t>
            </w:r>
          </w:p>
        </w:tc>
      </w:tr>
    </w:tbl>
    <w:p>
      <w:pPr>
        <w:spacing w:after="40"/>
      </w:pPr>
    </w:p>
    <w:p>
      <w:pPr>
        <w:pStyle w:val="Heading1"/>
        <w:keepNext/>
      </w:pPr>
      <w:r>
        <w:t>5. GitHub authoritative-state model</w:t>
      </w:r>
    </w:p>
    <w:p>
      <w:pPr>
        <w:pStyle w:val="Heading2"/>
        <w:keepNext/>
      </w:pPr>
      <w:r>
        <w:t>5.1 Decision</w:t>
      </w:r>
    </w:p>
    <w:p>
      <w:pPr/>
      <w:r>
        <w:rPr>
          <w:rFonts w:ascii="Aptos" w:hAnsi="Aptos"/>
          <w:color w:val="1E252B"/>
        </w:rPr>
        <w:t>GitHub is Nyvora's authoritative durable desired-state plane for code, architecture, policies, environment declarations, releases, and recovery definitions. It records review and workflow evidence, but it is not the owner recovery root, runtime state store, transport, secret vault, or execution authority by itself. The move from Radicle is architectural: Radicle is removed from the required control path, not merely replaced as a transport detail.</w:t>
      </w:r>
    </w:p>
    <w:p>
      <w:pPr/>
      <w:r>
        <w:rPr>
          <w:rFonts w:ascii="Aptos" w:hAnsi="Aptos"/>
          <w:color w:val="1E252B"/>
        </w:rPr>
        <w:t>GitHub authority applies to new durable desired state. During a GitHub outage, Nyvora may continue only from previously verified, signed, locally cached material and already issued action envelopes whose validity and policy windows remain satisfied; it may not invent, approve, or accept new durable desired state.</w:t>
      </w:r>
    </w:p>
    <w:p>
      <w:pPr>
        <w:pStyle w:val="Heading2"/>
        <w:keepNext/>
      </w:pPr>
      <w:r>
        <w:t>5.2 Repository structure</w:t>
      </w:r>
    </w:p>
    <w:p>
      <w:pPr>
        <w:pStyle w:val="NyvoraCode"/>
        <w:shd w:fill="F0F3F6"/>
        <w:keepLines/>
        <w:pBdr>
          <w:left w:val="single" w:sz="18" w:space="8" w:color="D9E0E7"/>
        </w:pBdr>
      </w:pPr>
      <w:r>
        <w:rPr>
          <w:rFonts w:ascii="Liberation Mono" w:hAnsi="Liberation Mono"/>
          <w:color w:val="14213D"/>
          <w:sz w:val="17"/>
        </w:rPr>
        <w:t>architecture/          baseline, diagrams, ADRs, threat model</w:t>
        <w:br/>
        <w:t>policies/              action classes, approvals, environment rules</w:t>
        <w:br/>
        <w:t>environments/</w:t>
        <w:br/>
        <w:t xml:space="preserve">  development/        desired state and non-secret references</w:t>
        <w:br/>
        <w:t xml:space="preserve">  testing/</w:t>
        <w:br/>
        <w:t xml:space="preserve">  operational/</w:t>
        <w:br/>
        <w:t>playbooks/             signed, versioned recovery and maintenance plans</w:t>
        <w:br/>
        <w:t>schemas/               action envelope, evidence receipt, policy inputs</w:t>
        <w:br/>
        <w:t>services/              deployable service definitions</w:t>
        <w:br/>
        <w:t>.github/workflows/     validation, release, promotion, dispatch, evidence</w:t>
        <w:br/>
        <w:t>ROADMAP.md             implementation sequence and acceptance gates</w:t>
      </w:r>
    </w:p>
    <w:p>
      <w:pPr>
        <w:pStyle w:val="Heading2"/>
        <w:keepNext/>
      </w:pPr>
      <w:r>
        <w:t>5.3 Required GitHub workflows</w:t>
      </w:r>
    </w:p>
    <w:tbl>
      <w:tblPr>
        <w:tblStyle w:val="TableGrid"/>
        <w:tblW w:type="dxa" w:w="9360"/>
        <w:tblLayout w:type="fixed"/>
        <w:tblLook w:firstColumn="1" w:firstRow="1" w:lastColumn="0" w:lastRow="0" w:noHBand="0" w:noVBand="1" w:val="04A0"/>
        <w:jc w:val="left"/>
        <w:tblInd w:w="130" w:type="dxa"/>
      </w:tblPr>
      <w:tblGrid>
        <w:gridCol w:w="2100"/>
        <w:gridCol w:w="2100"/>
        <w:gridCol w:w="5160"/>
      </w:tblGrid>
      <w:tr>
        <w:trPr>
          <w:tblHeader w:val="true"/>
          <w:cantSplit/>
        </w:trPr>
        <w:tc>
          <w:tcPr>
            <w:tcW w:type="dxa" w:w="2100"/>
            <w:tcMar>
              <w:top w:w="100" w:type="dxa"/>
              <w:start w:w="130" w:type="dxa"/>
              <w:bottom w:w="100" w:type="dxa"/>
              <w:end w:w="130" w:type="dxa"/>
            </w:tcMar>
            <w:vAlign w:val="center"/>
            <w:shd w:fill="14213D"/>
          </w:tcPr>
          <w:p>
            <w:pPr>
              <w:spacing w:after="0"/>
              <w:jc w:val="left"/>
            </w:pPr>
            <w:r>
              <w:rPr>
                <w:rFonts w:ascii="Aptos" w:hAnsi="Aptos"/>
                <w:b/>
                <w:color w:val="FFFFFF"/>
                <w:sz w:val="16"/>
              </w:rPr>
              <w:t>Workflow</w:t>
            </w:r>
          </w:p>
        </w:tc>
        <w:tc>
          <w:tcPr>
            <w:tcW w:type="dxa" w:w="2100"/>
            <w:tcMar>
              <w:top w:w="100" w:type="dxa"/>
              <w:start w:w="130" w:type="dxa"/>
              <w:bottom w:w="100" w:type="dxa"/>
              <w:end w:w="130" w:type="dxa"/>
            </w:tcMar>
            <w:vAlign w:val="center"/>
            <w:shd w:fill="14213D"/>
          </w:tcPr>
          <w:p>
            <w:pPr>
              <w:spacing w:after="0"/>
              <w:jc w:val="left"/>
            </w:pPr>
            <w:r>
              <w:rPr>
                <w:rFonts w:ascii="Aptos" w:hAnsi="Aptos"/>
                <w:b/>
                <w:color w:val="FFFFFF"/>
                <w:sz w:val="16"/>
              </w:rPr>
              <w:t>Trigger</w:t>
            </w:r>
          </w:p>
        </w:tc>
        <w:tc>
          <w:tcPr>
            <w:tcW w:type="dxa" w:w="5160"/>
            <w:tcMar>
              <w:top w:w="100" w:type="dxa"/>
              <w:start w:w="130" w:type="dxa"/>
              <w:bottom w:w="100" w:type="dxa"/>
              <w:end w:w="130" w:type="dxa"/>
            </w:tcMar>
            <w:vAlign w:val="center"/>
            <w:shd w:fill="14213D"/>
          </w:tcPr>
          <w:p>
            <w:pPr>
              <w:spacing w:after="0"/>
              <w:jc w:val="left"/>
            </w:pPr>
            <w:r>
              <w:rPr>
                <w:rFonts w:ascii="Aptos" w:hAnsi="Aptos"/>
                <w:b/>
                <w:color w:val="FFFFFF"/>
                <w:sz w:val="16"/>
              </w:rPr>
              <w:t>Required output</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baseline-lint</w:t>
            </w:r>
          </w:p>
        </w:tc>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Architecture / policy PR</w:t>
            </w:r>
          </w:p>
        </w:tc>
        <w:tc>
          <w:tcPr>
            <w:tcW w:type="dxa" w:w="5160"/>
            <w:tcMar>
              <w:top w:w="100" w:type="dxa"/>
              <w:start w:w="130" w:type="dxa"/>
              <w:bottom w:w="100" w:type="dxa"/>
              <w:end w:w="130" w:type="dxa"/>
            </w:tcMar>
            <w:vAlign w:val="center"/>
          </w:tcPr>
          <w:p>
            <w:pPr>
              <w:spacing w:after="0" w:line="259" w:lineRule="auto"/>
            </w:pPr>
            <w:r>
              <w:rPr>
                <w:rFonts w:ascii="Aptos" w:hAnsi="Aptos"/>
                <w:color w:val="1E252B"/>
                <w:sz w:val="15"/>
              </w:rPr>
              <w:t>Schema, link, ADR, invariant, and formatting validation.</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pr-validation</w:t>
            </w:r>
          </w:p>
        </w:tc>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Pull request</w:t>
            </w:r>
          </w:p>
        </w:tc>
        <w:tc>
          <w:tcPr>
            <w:tcW w:type="dxa" w:w="5160"/>
            <w:shd w:fill="F7F9FB"/>
            <w:tcMar>
              <w:top w:w="100" w:type="dxa"/>
              <w:start w:w="130" w:type="dxa"/>
              <w:bottom w:w="100" w:type="dxa"/>
              <w:end w:w="130" w:type="dxa"/>
            </w:tcMar>
            <w:vAlign w:val="center"/>
          </w:tcPr>
          <w:p>
            <w:pPr>
              <w:spacing w:after="0" w:line="259" w:lineRule="auto"/>
            </w:pPr>
            <w:r>
              <w:rPr>
                <w:rFonts w:ascii="Aptos" w:hAnsi="Aptos"/>
                <w:color w:val="1E252B"/>
                <w:sz w:val="15"/>
              </w:rPr>
              <w:t>Tests, static analysis, manifest validation, dependency and secret scanning.</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policy-evaluate</w:t>
            </w:r>
          </w:p>
        </w:tc>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Pull request / dispatch</w:t>
            </w:r>
          </w:p>
        </w:tc>
        <w:tc>
          <w:tcPr>
            <w:tcW w:type="dxa" w:w="5160"/>
            <w:tcMar>
              <w:top w:w="100" w:type="dxa"/>
              <w:start w:w="130" w:type="dxa"/>
              <w:bottom w:w="100" w:type="dxa"/>
              <w:end w:w="130" w:type="dxa"/>
            </w:tcMar>
            <w:vAlign w:val="center"/>
          </w:tcPr>
          <w:p>
            <w:pPr>
              <w:spacing w:after="0" w:line="259" w:lineRule="auto"/>
            </w:pPr>
            <w:r>
              <w:rPr>
                <w:rFonts w:ascii="Aptos" w:hAnsi="Aptos"/>
                <w:color w:val="1E252B"/>
                <w:sz w:val="15"/>
              </w:rPr>
              <w:t>Risk class, environment eligibility, approval need, rollback completeness.</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build-attest</w:t>
            </w:r>
          </w:p>
        </w:tc>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Protected merge / tag</w:t>
            </w:r>
          </w:p>
        </w:tc>
        <w:tc>
          <w:tcPr>
            <w:tcW w:type="dxa" w:w="5160"/>
            <w:shd w:fill="F7F9FB"/>
            <w:tcMar>
              <w:top w:w="100" w:type="dxa"/>
              <w:start w:w="130" w:type="dxa"/>
              <w:bottom w:w="100" w:type="dxa"/>
              <w:end w:w="130" w:type="dxa"/>
            </w:tcMar>
            <w:vAlign w:val="center"/>
          </w:tcPr>
          <w:p>
            <w:pPr>
              <w:spacing w:after="0" w:line="259" w:lineRule="auto"/>
            </w:pPr>
            <w:r>
              <w:rPr>
                <w:rFonts w:ascii="Aptos" w:hAnsi="Aptos"/>
                <w:color w:val="1E252B"/>
                <w:sz w:val="15"/>
              </w:rPr>
              <w:t>Reproducible artifact, provenance, SBOM, signature, content digest.</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promote-environment</w:t>
            </w:r>
          </w:p>
        </w:tc>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Approved release</w:t>
            </w:r>
          </w:p>
        </w:tc>
        <w:tc>
          <w:tcPr>
            <w:tcW w:type="dxa" w:w="5160"/>
            <w:tcMar>
              <w:top w:w="100" w:type="dxa"/>
              <w:start w:w="130" w:type="dxa"/>
              <w:bottom w:w="100" w:type="dxa"/>
              <w:end w:w="130" w:type="dxa"/>
            </w:tcMar>
            <w:vAlign w:val="center"/>
          </w:tcPr>
          <w:p>
            <w:pPr>
              <w:spacing w:after="0" w:line="259" w:lineRule="auto"/>
            </w:pPr>
            <w:r>
              <w:rPr>
                <w:rFonts w:ascii="Aptos" w:hAnsi="Aptos"/>
                <w:color w:val="1E252B"/>
                <w:sz w:val="15"/>
              </w:rPr>
              <w:t>Development → testing → operational promotion without rebuilding artifacts.</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deploy-dispatch</w:t>
            </w:r>
          </w:p>
        </w:tc>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Promotion / operator dispatch</w:t>
            </w:r>
          </w:p>
        </w:tc>
        <w:tc>
          <w:tcPr>
            <w:tcW w:type="dxa" w:w="5160"/>
            <w:shd w:fill="F7F9FB"/>
            <w:tcMar>
              <w:top w:w="100" w:type="dxa"/>
              <w:start w:w="130" w:type="dxa"/>
              <w:bottom w:w="100" w:type="dxa"/>
              <w:end w:w="130" w:type="dxa"/>
            </w:tcMar>
            <w:vAlign w:val="center"/>
          </w:tcPr>
          <w:p>
            <w:pPr>
              <w:spacing w:after="0" w:line="259" w:lineRule="auto"/>
            </w:pPr>
            <w:r>
              <w:rPr>
                <w:rFonts w:ascii="Aptos" w:hAnsi="Aptos"/>
                <w:color w:val="1E252B"/>
                <w:sz w:val="15"/>
              </w:rPr>
              <w:t>Request or issue a signed action envelope through Nyvora policy; do not expose broad host credentials or treat workflow provenance as authority by itself.</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scheduled-bundle</w:t>
            </w:r>
          </w:p>
        </w:tc>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Protected schedule change</w:t>
            </w:r>
          </w:p>
        </w:tc>
        <w:tc>
          <w:tcPr>
            <w:tcW w:type="dxa" w:w="5160"/>
            <w:tcMar>
              <w:top w:w="100" w:type="dxa"/>
              <w:start w:w="130" w:type="dxa"/>
              <w:bottom w:w="100" w:type="dxa"/>
              <w:end w:w="130" w:type="dxa"/>
            </w:tcMar>
            <w:vAlign w:val="center"/>
          </w:tcPr>
          <w:p>
            <w:pPr>
              <w:spacing w:after="0" w:line="259" w:lineRule="auto"/>
            </w:pPr>
            <w:r>
              <w:rPr>
                <w:rFonts w:ascii="Aptos" w:hAnsi="Aptos"/>
                <w:color w:val="1E252B"/>
                <w:sz w:val="15"/>
              </w:rPr>
              <w:t>Publish signed cached schedules and approved playbooks for outage continuity.</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evidence-ingest</w:t>
            </w:r>
          </w:p>
        </w:tc>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Action completion</w:t>
            </w:r>
          </w:p>
        </w:tc>
        <w:tc>
          <w:tcPr>
            <w:tcW w:type="dxa" w:w="5160"/>
            <w:shd w:fill="F7F9FB"/>
            <w:tcMar>
              <w:top w:w="100" w:type="dxa"/>
              <w:start w:w="130" w:type="dxa"/>
              <w:bottom w:w="100" w:type="dxa"/>
              <w:end w:w="130" w:type="dxa"/>
            </w:tcMar>
            <w:vAlign w:val="center"/>
          </w:tcPr>
          <w:p>
            <w:pPr>
              <w:spacing w:after="0" w:line="259" w:lineRule="auto"/>
            </w:pPr>
            <w:r>
              <w:rPr>
                <w:rFonts w:ascii="Aptos" w:hAnsi="Aptos"/>
                <w:color w:val="1E252B"/>
                <w:sz w:val="15"/>
              </w:rPr>
              <w:t>Validate receipt signature and append protected evidence references.</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drift-detect</w:t>
            </w:r>
          </w:p>
        </w:tc>
        <w:tc>
          <w:tcPr>
            <w:tcW w:type="dxa" w:w="2100"/>
            <w:tcMar>
              <w:top w:w="100" w:type="dxa"/>
              <w:start w:w="130" w:type="dxa"/>
              <w:bottom w:w="100" w:type="dxa"/>
              <w:end w:w="130" w:type="dxa"/>
            </w:tcMar>
            <w:vAlign w:val="center"/>
          </w:tcPr>
          <w:p>
            <w:pPr>
              <w:spacing w:after="0" w:line="259" w:lineRule="auto"/>
            </w:pPr>
            <w:r>
              <w:rPr>
                <w:rFonts w:ascii="Aptos" w:hAnsi="Aptos"/>
                <w:color w:val="1E252B"/>
                <w:sz w:val="15"/>
              </w:rPr>
              <w:t>Schedule / reconciliation</w:t>
            </w:r>
          </w:p>
        </w:tc>
        <w:tc>
          <w:tcPr>
            <w:tcW w:type="dxa" w:w="5160"/>
            <w:tcMar>
              <w:top w:w="100" w:type="dxa"/>
              <w:start w:w="130" w:type="dxa"/>
              <w:bottom w:w="100" w:type="dxa"/>
              <w:end w:w="130" w:type="dxa"/>
            </w:tcMar>
            <w:vAlign w:val="center"/>
          </w:tcPr>
          <w:p>
            <w:pPr>
              <w:spacing w:after="0" w:line="259" w:lineRule="auto"/>
            </w:pPr>
            <w:r>
              <w:rPr>
                <w:rFonts w:ascii="Aptos" w:hAnsi="Aptos"/>
                <w:color w:val="1E252B"/>
                <w:sz w:val="15"/>
              </w:rPr>
              <w:t>Compare declared and observed state; open a finding or bounded repair action.</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recovery-verify</w:t>
            </w:r>
          </w:p>
        </w:tc>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5"/>
              </w:rPr>
              <w:t>Scheduled</w:t>
            </w:r>
          </w:p>
        </w:tc>
        <w:tc>
          <w:tcPr>
            <w:tcW w:type="dxa" w:w="5160"/>
            <w:shd w:fill="F7F9FB"/>
            <w:tcMar>
              <w:top w:w="100" w:type="dxa"/>
              <w:start w:w="130" w:type="dxa"/>
              <w:bottom w:w="100" w:type="dxa"/>
              <w:end w:w="130" w:type="dxa"/>
            </w:tcMar>
            <w:vAlign w:val="center"/>
          </w:tcPr>
          <w:p>
            <w:pPr>
              <w:spacing w:after="0" w:line="259" w:lineRule="auto"/>
            </w:pPr>
            <w:r>
              <w:rPr>
                <w:rFonts w:ascii="Aptos" w:hAnsi="Aptos"/>
                <w:color w:val="1E252B"/>
                <w:sz w:val="15"/>
              </w:rPr>
              <w:t>Restore rehearsal, credential expiry check, backup integrity, and break-glass readiness.</w:t>
            </w:r>
          </w:p>
        </w:tc>
      </w:tr>
    </w:tbl>
    <w:p>
      <w:pPr>
        <w:spacing w:after="40"/>
      </w:pPr>
    </w:p>
    <w:p>
      <w:pPr>
        <w:pStyle w:val="Heading2"/>
        <w:keepNext/>
      </w:pPr>
      <w:r>
        <w:t>5.4 GitHub security requirements</w:t>
      </w:r>
    </w:p>
    <w:p>
      <w:pPr>
        <w:pStyle w:val="NyvoraList"/>
        <w:numPr>
          <w:ilvl w:val="0"/>
          <w:numId w:val="10"/>
        </w:numPr>
      </w:pPr>
      <w:r>
        <w:rPr>
          <w:rFonts w:ascii="Aptos" w:hAnsi="Aptos"/>
          <w:color w:val="1E252B"/>
        </w:rPr>
        <w:t xml:space="preserve"> Protected default branch; required reviews and status checks for baseline, policy, and operational desired-state changes.</w:t>
      </w:r>
    </w:p>
    <w:p>
      <w:pPr>
        <w:pStyle w:val="NyvoraList"/>
        <w:numPr>
          <w:ilvl w:val="0"/>
          <w:numId w:val="10"/>
        </w:numPr>
      </w:pPr>
      <w:r>
        <w:rPr>
          <w:rFonts w:ascii="Aptos" w:hAnsi="Aptos"/>
          <w:color w:val="1E252B"/>
        </w:rPr>
        <w:t xml:space="preserve"> GitHub Environments represent development, testing, and operational promotion boundaries.</w:t>
      </w:r>
    </w:p>
    <w:p>
      <w:pPr>
        <w:pStyle w:val="NyvoraList"/>
        <w:numPr>
          <w:ilvl w:val="0"/>
          <w:numId w:val="10"/>
        </w:numPr>
      </w:pPr>
      <w:r>
        <w:rPr>
          <w:rFonts w:ascii="Aptos" w:hAnsi="Aptos"/>
          <w:color w:val="1E252B"/>
        </w:rPr>
        <w:t xml:space="preserve"> Untrusted pull-request jobs receive no production secrets and cannot run on privileged self-hosted runners.</w:t>
      </w:r>
    </w:p>
    <w:p>
      <w:pPr>
        <w:pStyle w:val="NyvoraList"/>
        <w:numPr>
          <w:ilvl w:val="0"/>
          <w:numId w:val="10"/>
        </w:numPr>
      </w:pPr>
      <w:r>
        <w:rPr>
          <w:rFonts w:ascii="Aptos" w:hAnsi="Aptos"/>
          <w:color w:val="1E252B"/>
        </w:rPr>
        <w:t xml:space="preserve"> Workflows pin third-party actions by immutable commit digest and minimize token permissions.</w:t>
      </w:r>
    </w:p>
    <w:p>
      <w:pPr>
        <w:pStyle w:val="NyvoraList"/>
        <w:numPr>
          <w:ilvl w:val="0"/>
          <w:numId w:val="10"/>
        </w:numPr>
      </w:pPr>
      <w:r>
        <w:rPr>
          <w:rFonts w:ascii="Aptos" w:hAnsi="Aptos"/>
          <w:color w:val="1E252B"/>
        </w:rPr>
        <w:t xml:space="preserve"> OIDC and short-lived credentials are preferred over repository-stored long-lived cloud or node credentials.</w:t>
      </w:r>
    </w:p>
    <w:p>
      <w:pPr>
        <w:pStyle w:val="NyvoraList"/>
        <w:numPr>
          <w:ilvl w:val="0"/>
          <w:numId w:val="10"/>
        </w:numPr>
      </w:pPr>
      <w:r>
        <w:rPr>
          <w:rFonts w:ascii="Aptos" w:hAnsi="Aptos"/>
          <w:color w:val="1E252B"/>
        </w:rPr>
        <w:t xml:space="preserve"> Build once and promote the same signed artifact; do not rebuild separately for operational deployment.</w:t>
      </w:r>
    </w:p>
    <w:p>
      <w:pPr>
        <w:pStyle w:val="NyvoraList"/>
        <w:numPr>
          <w:ilvl w:val="0"/>
          <w:numId w:val="10"/>
        </w:numPr>
      </w:pPr>
      <w:r>
        <w:rPr>
          <w:rFonts w:ascii="Aptos" w:hAnsi="Aptos"/>
          <w:color w:val="1E252B"/>
        </w:rPr>
        <w:t xml:space="preserve"> Repository backup and recovery are documented independently of GitHub availability.</w:t>
      </w:r>
    </w:p>
    <w:p>
      <w:pPr>
        <w:pStyle w:val="Heading1"/>
        <w:keepNext/>
      </w:pPr>
      <w:r>
        <w:t>6. Autonomous change lifecycle</w:t>
      </w:r>
    </w:p>
    <w:p>
      <w:pPr>
        <w:jc w:val="center"/>
      </w:pPr>
      <w:r>
        <w:drawing>
          <wp:inline xmlns:a="http://schemas.openxmlformats.org/drawingml/2006/main" xmlns:pic="http://schemas.openxmlformats.org/drawingml/2006/picture">
            <wp:extent cx="5989320" cy="3115768"/>
            <wp:docPr id="2" name="Picture 2" title="Policy-governed autonomous change lifecycle" descr="Seven-stage loop from intent through GitHub proposal, validation, release, execution, verification, and evidence, with automatic rollback on failed verification and evidence informing future intent."/>
            <wp:cNvGraphicFramePr>
              <a:graphicFrameLocks noChangeAspect="1"/>
            </wp:cNvGraphicFramePr>
            <a:graphic>
              <a:graphicData uri="http://schemas.openxmlformats.org/drawingml/2006/picture">
                <pic:pic>
                  <pic:nvPicPr>
                    <pic:cNvPr id="0" name="change-flow.png"/>
                    <pic:cNvPicPr/>
                  </pic:nvPicPr>
                  <pic:blipFill>
                    <a:blip r:embed="rId10"/>
                    <a:stretch>
                      <a:fillRect/>
                    </a:stretch>
                  </pic:blipFill>
                  <pic:spPr>
                    <a:xfrm>
                      <a:off x="0" y="0"/>
                      <a:ext cx="5989320" cy="3115768"/>
                    </a:xfrm>
                    <a:prstGeom prst="rect"/>
                  </pic:spPr>
                </pic:pic>
              </a:graphicData>
            </a:graphic>
          </wp:inline>
        </w:drawing>
      </w:r>
    </w:p>
    <w:p>
      <w:pPr>
        <w:pStyle w:val="NyvoraCaption"/>
      </w:pPr>
      <w:r>
        <w:rPr>
          <w:rFonts w:ascii="Aptos" w:hAnsi="Aptos"/>
          <w:i/>
          <w:color w:val="5E6873"/>
          <w:sz w:val="17"/>
        </w:rPr>
        <w:t>Figure 2. Common lifecycle for conversational, scheduled, repository-driven, and recovery actions.</w:t>
      </w:r>
    </w:p>
    <w:p>
      <w:pPr>
        <w:pStyle w:val="Heading2"/>
        <w:keepNext/>
      </w:pPr>
      <w:r>
        <w:t>6.1 Action envelope</w:t>
      </w:r>
    </w:p>
    <w:p>
      <w:pPr/>
      <w:r>
        <w:rPr>
          <w:rFonts w:ascii="Aptos" w:hAnsi="Aptos"/>
          <w:color w:val="1E252B"/>
        </w:rPr>
        <w:t>Every material forward mutation is carried in a signed, time-bounded action envelope. The executor rejects incomplete, expired, replayed, improperly scoped, or policy-incompatible envelopes. An emergency safety stop or identity revocation may bypass forward-action issuance only when explicitly permitted by break-glass policy; it must be durably evidenced and cannot authorize resumption or broaden authority.</w:t>
      </w:r>
    </w:p>
    <w:tbl>
      <w:tblPr>
        <w:tblStyle w:val="TableGrid"/>
        <w:tblW w:type="dxa" w:w="9360"/>
        <w:tblLayout w:type="fixed"/>
        <w:tblLook w:firstColumn="1" w:firstRow="1" w:lastColumn="0" w:lastRow="0" w:noHBand="0" w:noVBand="1" w:val="04A0"/>
        <w:jc w:val="left"/>
        <w:tblInd w:w="130" w:type="dxa"/>
      </w:tblPr>
      <w:tblGrid>
        <w:gridCol w:w="1900"/>
        <w:gridCol w:w="7460"/>
      </w:tblGrid>
      <w:tr>
        <w:trPr>
          <w:tblHeader w:val="true"/>
          <w:cantSplit/>
        </w:trPr>
        <w:tc>
          <w:tcPr>
            <w:tcW w:type="dxa" w:w="1900"/>
            <w:tcMar>
              <w:top w:w="100" w:type="dxa"/>
              <w:start w:w="130" w:type="dxa"/>
              <w:bottom w:w="100" w:type="dxa"/>
              <w:end w:w="130" w:type="dxa"/>
            </w:tcMar>
            <w:vAlign w:val="center"/>
            <w:shd w:fill="14213D"/>
          </w:tcPr>
          <w:p>
            <w:pPr>
              <w:spacing w:after="0"/>
              <w:jc w:val="left"/>
            </w:pPr>
            <w:r>
              <w:rPr>
                <w:rFonts w:ascii="Aptos" w:hAnsi="Aptos"/>
                <w:b/>
                <w:color w:val="FFFFFF"/>
                <w:sz w:val="16"/>
              </w:rPr>
              <w:t>Envelope group</w:t>
            </w:r>
          </w:p>
        </w:tc>
        <w:tc>
          <w:tcPr>
            <w:tcW w:type="dxa" w:w="7460"/>
            <w:tcMar>
              <w:top w:w="100" w:type="dxa"/>
              <w:start w:w="130" w:type="dxa"/>
              <w:bottom w:w="100" w:type="dxa"/>
              <w:end w:w="130" w:type="dxa"/>
            </w:tcMar>
            <w:vAlign w:val="center"/>
            <w:shd w:fill="14213D"/>
          </w:tcPr>
          <w:p>
            <w:pPr>
              <w:spacing w:after="0"/>
              <w:jc w:val="left"/>
            </w:pPr>
            <w:r>
              <w:rPr>
                <w:rFonts w:ascii="Aptos" w:hAnsi="Aptos"/>
                <w:b/>
                <w:color w:val="FFFFFF"/>
                <w:sz w:val="16"/>
              </w:rPr>
              <w:t>Required fields</w:t>
            </w:r>
          </w:p>
        </w:tc>
      </w:tr>
      <w:tr>
        <w:trPr>
          <w:cantSplit/>
        </w:trPr>
        <w:tc>
          <w:tcPr>
            <w:tcW w:type="dxa" w:w="1900"/>
            <w:tcMar>
              <w:top w:w="100" w:type="dxa"/>
              <w:start w:w="130" w:type="dxa"/>
              <w:bottom w:w="100" w:type="dxa"/>
              <w:end w:w="130" w:type="dxa"/>
            </w:tcMar>
            <w:vAlign w:val="center"/>
          </w:tcPr>
          <w:p>
            <w:pPr>
              <w:spacing w:after="0" w:line="259" w:lineRule="auto"/>
            </w:pPr>
            <w:r>
              <w:rPr>
                <w:rFonts w:ascii="Aptos" w:hAnsi="Aptos"/>
                <w:color w:val="1E252B"/>
                <w:sz w:val="17"/>
              </w:rPr>
              <w:t>Identity</w:t>
            </w:r>
          </w:p>
        </w:tc>
        <w:tc>
          <w:tcPr>
            <w:tcW w:type="dxa" w:w="7460"/>
            <w:tcMar>
              <w:top w:w="100" w:type="dxa"/>
              <w:start w:w="130" w:type="dxa"/>
              <w:bottom w:w="100" w:type="dxa"/>
              <w:end w:w="130" w:type="dxa"/>
            </w:tcMar>
            <w:vAlign w:val="center"/>
          </w:tcPr>
          <w:p>
            <w:pPr>
              <w:spacing w:after="0" w:line="259" w:lineRule="auto"/>
            </w:pPr>
            <w:r>
              <w:rPr>
                <w:rFonts w:ascii="Aptos" w:hAnsi="Aptos"/>
                <w:color w:val="1E252B"/>
                <w:sz w:val="17"/>
              </w:rPr>
              <w:t>action_id, intent reference, issuer, actor/workload identity, environment</w:t>
            </w:r>
          </w:p>
        </w:tc>
      </w:tr>
      <w:tr>
        <w:trPr>
          <w:cantSplit/>
        </w:trPr>
        <w:tc>
          <w:tcPr>
            <w:tcW w:type="dxa" w:w="1900"/>
            <w:shd w:fill="F7F9FB"/>
            <w:tcMar>
              <w:top w:w="100" w:type="dxa"/>
              <w:start w:w="130" w:type="dxa"/>
              <w:bottom w:w="100" w:type="dxa"/>
              <w:end w:w="130" w:type="dxa"/>
            </w:tcMar>
            <w:vAlign w:val="center"/>
          </w:tcPr>
          <w:p>
            <w:pPr>
              <w:spacing w:after="0" w:line="259" w:lineRule="auto"/>
            </w:pPr>
            <w:r>
              <w:rPr>
                <w:rFonts w:ascii="Aptos" w:hAnsi="Aptos"/>
                <w:color w:val="1E252B"/>
                <w:sz w:val="17"/>
              </w:rPr>
              <w:t>Provenance</w:t>
            </w:r>
          </w:p>
        </w:tc>
        <w:tc>
          <w:tcPr>
            <w:tcW w:type="dxa" w:w="7460"/>
            <w:shd w:fill="F7F9FB"/>
            <w:tcMar>
              <w:top w:w="100" w:type="dxa"/>
              <w:start w:w="130" w:type="dxa"/>
              <w:bottom w:w="100" w:type="dxa"/>
              <w:end w:w="130" w:type="dxa"/>
            </w:tcMar>
            <w:vAlign w:val="center"/>
          </w:tcPr>
          <w:p>
            <w:pPr>
              <w:spacing w:after="0" w:line="259" w:lineRule="auto"/>
            </w:pPr>
            <w:r>
              <w:rPr>
                <w:rFonts w:ascii="Aptos" w:hAnsi="Aptos"/>
                <w:color w:val="1E252B"/>
                <w:sz w:val="17"/>
              </w:rPr>
              <w:t>repository, commit, workflow run, release, artifact digest, policy version</w:t>
            </w:r>
          </w:p>
        </w:tc>
      </w:tr>
      <w:tr>
        <w:trPr>
          <w:cantSplit/>
        </w:trPr>
        <w:tc>
          <w:tcPr>
            <w:tcW w:type="dxa" w:w="1900"/>
            <w:tcMar>
              <w:top w:w="100" w:type="dxa"/>
              <w:start w:w="130" w:type="dxa"/>
              <w:bottom w:w="100" w:type="dxa"/>
              <w:end w:w="130" w:type="dxa"/>
            </w:tcMar>
            <w:vAlign w:val="center"/>
          </w:tcPr>
          <w:p>
            <w:pPr>
              <w:spacing w:after="0" w:line="259" w:lineRule="auto"/>
            </w:pPr>
            <w:r>
              <w:rPr>
                <w:rFonts w:ascii="Aptos" w:hAnsi="Aptos"/>
                <w:color w:val="1E252B"/>
                <w:sz w:val="17"/>
              </w:rPr>
              <w:t>Authorization</w:t>
            </w:r>
          </w:p>
        </w:tc>
        <w:tc>
          <w:tcPr>
            <w:tcW w:type="dxa" w:w="7460"/>
            <w:tcMar>
              <w:top w:w="100" w:type="dxa"/>
              <w:start w:w="130" w:type="dxa"/>
              <w:bottom w:w="100" w:type="dxa"/>
              <w:end w:w="130" w:type="dxa"/>
            </w:tcMar>
            <w:vAlign w:val="center"/>
          </w:tcPr>
          <w:p>
            <w:pPr>
              <w:spacing w:after="0" w:line="259" w:lineRule="auto"/>
            </w:pPr>
            <w:r>
              <w:rPr>
                <w:rFonts w:ascii="Aptos" w:hAnsi="Aptos"/>
                <w:color w:val="1E252B"/>
                <w:sz w:val="17"/>
              </w:rPr>
              <w:t>risk class, capability scope, approval proof when R4, credential audience and TTL</w:t>
            </w:r>
          </w:p>
        </w:tc>
      </w:tr>
      <w:tr>
        <w:trPr>
          <w:cantSplit/>
        </w:trPr>
        <w:tc>
          <w:tcPr>
            <w:tcW w:type="dxa" w:w="1900"/>
            <w:shd w:fill="F7F9FB"/>
            <w:tcMar>
              <w:top w:w="100" w:type="dxa"/>
              <w:start w:w="130" w:type="dxa"/>
              <w:bottom w:w="100" w:type="dxa"/>
              <w:end w:w="130" w:type="dxa"/>
            </w:tcMar>
            <w:vAlign w:val="center"/>
          </w:tcPr>
          <w:p>
            <w:pPr>
              <w:spacing w:after="0" w:line="259" w:lineRule="auto"/>
            </w:pPr>
            <w:r>
              <w:rPr>
                <w:rFonts w:ascii="Aptos" w:hAnsi="Aptos"/>
                <w:color w:val="1E252B"/>
                <w:sz w:val="17"/>
              </w:rPr>
              <w:t>Execution</w:t>
            </w:r>
          </w:p>
        </w:tc>
        <w:tc>
          <w:tcPr>
            <w:tcW w:type="dxa" w:w="7460"/>
            <w:shd w:fill="F7F9FB"/>
            <w:tcMar>
              <w:top w:w="100" w:type="dxa"/>
              <w:start w:w="130" w:type="dxa"/>
              <w:bottom w:w="100" w:type="dxa"/>
              <w:end w:w="130" w:type="dxa"/>
            </w:tcMar>
            <w:vAlign w:val="center"/>
          </w:tcPr>
          <w:p>
            <w:pPr>
              <w:spacing w:after="0" w:line="259" w:lineRule="auto"/>
            </w:pPr>
            <w:r>
              <w:rPr>
                <w:rFonts w:ascii="Aptos" w:hAnsi="Aptos"/>
                <w:color w:val="1E252B"/>
                <w:sz w:val="17"/>
              </w:rPr>
              <w:t>target selector, declared changes, preconditions, lease/fencing proof, timeout</w:t>
            </w:r>
          </w:p>
        </w:tc>
      </w:tr>
      <w:tr>
        <w:trPr>
          <w:cantSplit/>
        </w:trPr>
        <w:tc>
          <w:tcPr>
            <w:tcW w:type="dxa" w:w="1900"/>
            <w:tcMar>
              <w:top w:w="100" w:type="dxa"/>
              <w:start w:w="130" w:type="dxa"/>
              <w:bottom w:w="100" w:type="dxa"/>
              <w:end w:w="130" w:type="dxa"/>
            </w:tcMar>
            <w:vAlign w:val="center"/>
          </w:tcPr>
          <w:p>
            <w:pPr>
              <w:spacing w:after="0" w:line="259" w:lineRule="auto"/>
            </w:pPr>
            <w:r>
              <w:rPr>
                <w:rFonts w:ascii="Aptos" w:hAnsi="Aptos"/>
                <w:color w:val="1E252B"/>
                <w:sz w:val="17"/>
              </w:rPr>
              <w:t>Safety</w:t>
            </w:r>
          </w:p>
        </w:tc>
        <w:tc>
          <w:tcPr>
            <w:tcW w:type="dxa" w:w="7460"/>
            <w:tcMar>
              <w:top w:w="100" w:type="dxa"/>
              <w:start w:w="130" w:type="dxa"/>
              <w:bottom w:w="100" w:type="dxa"/>
              <w:end w:w="130" w:type="dxa"/>
            </w:tcMar>
            <w:vAlign w:val="center"/>
          </w:tcPr>
          <w:p>
            <w:pPr>
              <w:spacing w:after="0" w:line="259" w:lineRule="auto"/>
            </w:pPr>
            <w:r>
              <w:rPr>
                <w:rFonts w:ascii="Aptos" w:hAnsi="Aptos"/>
                <w:color w:val="1E252B"/>
                <w:sz w:val="17"/>
              </w:rPr>
              <w:t>rollback plan, backup/restore reference, blast-radius limit, abort conditions</w:t>
            </w:r>
          </w:p>
        </w:tc>
      </w:tr>
      <w:tr>
        <w:trPr>
          <w:cantSplit/>
        </w:trPr>
        <w:tc>
          <w:tcPr>
            <w:tcW w:type="dxa" w:w="1900"/>
            <w:shd w:fill="F7F9FB"/>
            <w:tcMar>
              <w:top w:w="100" w:type="dxa"/>
              <w:start w:w="130" w:type="dxa"/>
              <w:bottom w:w="100" w:type="dxa"/>
              <w:end w:w="130" w:type="dxa"/>
            </w:tcMar>
            <w:vAlign w:val="center"/>
          </w:tcPr>
          <w:p>
            <w:pPr>
              <w:spacing w:after="0" w:line="259" w:lineRule="auto"/>
            </w:pPr>
            <w:r>
              <w:rPr>
                <w:rFonts w:ascii="Aptos" w:hAnsi="Aptos"/>
                <w:color w:val="1E252B"/>
                <w:sz w:val="17"/>
              </w:rPr>
              <w:t>Verification</w:t>
            </w:r>
          </w:p>
        </w:tc>
        <w:tc>
          <w:tcPr>
            <w:tcW w:type="dxa" w:w="7460"/>
            <w:shd w:fill="F7F9FB"/>
            <w:tcMar>
              <w:top w:w="100" w:type="dxa"/>
              <w:start w:w="130" w:type="dxa"/>
              <w:bottom w:w="100" w:type="dxa"/>
              <w:end w:w="130" w:type="dxa"/>
            </w:tcMar>
            <w:vAlign w:val="center"/>
          </w:tcPr>
          <w:p>
            <w:pPr>
              <w:spacing w:after="0" w:line="259" w:lineRule="auto"/>
            </w:pPr>
            <w:r>
              <w:rPr>
                <w:rFonts w:ascii="Aptos" w:hAnsi="Aptos"/>
                <w:color w:val="1E252B"/>
                <w:sz w:val="17"/>
              </w:rPr>
              <w:t>postconditions, health checks, acceptance assertions, evidence destinations</w:t>
            </w:r>
          </w:p>
        </w:tc>
      </w:tr>
    </w:tbl>
    <w:p>
      <w:pPr>
        <w:spacing w:after="40"/>
      </w:pPr>
    </w:p>
    <w:p>
      <w:pPr>
        <w:pStyle w:val="Heading2"/>
        <w:keepNext/>
      </w:pPr>
      <w:r>
        <w:t>6.2 Execution semantics</w:t>
      </w:r>
    </w:p>
    <w:p>
      <w:pPr>
        <w:pStyle w:val="NyvoraList"/>
        <w:numPr>
          <w:ilvl w:val="0"/>
          <w:numId w:val="11"/>
        </w:numPr>
      </w:pPr>
      <w:r>
        <w:rPr>
          <w:rFonts w:ascii="Aptos" w:hAnsi="Aptos"/>
          <w:color w:val="1E252B"/>
        </w:rPr>
        <w:t>Acquire the environment's single-writer lease and verify fencing before mutation.</w:t>
      </w:r>
    </w:p>
    <w:p>
      <w:pPr>
        <w:pStyle w:val="NyvoraList"/>
        <w:numPr>
          <w:ilvl w:val="0"/>
          <w:numId w:val="11"/>
        </w:numPr>
      </w:pPr>
      <w:r>
        <w:rPr>
          <w:rFonts w:ascii="Aptos" w:hAnsi="Aptos"/>
          <w:color w:val="1E252B"/>
        </w:rPr>
        <w:t>Resolve only the bounded credentials needed for this action and this target.</w:t>
      </w:r>
    </w:p>
    <w:p>
      <w:pPr>
        <w:pStyle w:val="NyvoraList"/>
        <w:numPr>
          <w:ilvl w:val="0"/>
          <w:numId w:val="11"/>
        </w:numPr>
      </w:pPr>
      <w:r>
        <w:rPr>
          <w:rFonts w:ascii="Aptos" w:hAnsi="Aptos"/>
          <w:color w:val="1E252B"/>
        </w:rPr>
        <w:t>Capture pre-change state and validate preconditions.</w:t>
      </w:r>
    </w:p>
    <w:p>
      <w:pPr>
        <w:pStyle w:val="NyvoraList"/>
        <w:numPr>
          <w:ilvl w:val="0"/>
          <w:numId w:val="11"/>
        </w:numPr>
      </w:pPr>
      <w:r>
        <w:rPr>
          <w:rFonts w:ascii="Aptos" w:hAnsi="Aptos"/>
          <w:color w:val="1E252B"/>
        </w:rPr>
        <w:t>Apply the smallest declared change; undeclared side effects fail the action.</w:t>
      </w:r>
    </w:p>
    <w:p>
      <w:pPr>
        <w:pStyle w:val="NyvoraList"/>
        <w:numPr>
          <w:ilvl w:val="0"/>
          <w:numId w:val="11"/>
        </w:numPr>
      </w:pPr>
      <w:r>
        <w:rPr>
          <w:rFonts w:ascii="Aptos" w:hAnsi="Aptos"/>
          <w:color w:val="1E252B"/>
        </w:rPr>
        <w:t>Evaluate postconditions and independent health checks.</w:t>
      </w:r>
    </w:p>
    <w:p>
      <w:pPr>
        <w:pStyle w:val="NyvoraList"/>
        <w:numPr>
          <w:ilvl w:val="0"/>
          <w:numId w:val="11"/>
        </w:numPr>
      </w:pPr>
      <w:r>
        <w:rPr>
          <w:rFonts w:ascii="Aptos" w:hAnsi="Aptos"/>
          <w:color w:val="1E252B"/>
        </w:rPr>
        <w:t>On failure, invoke the declared rollback automatically unless rollback itself becomes unsafe.</w:t>
      </w:r>
    </w:p>
    <w:p>
      <w:pPr>
        <w:pStyle w:val="NyvoraList"/>
        <w:numPr>
          <w:ilvl w:val="0"/>
          <w:numId w:val="11"/>
        </w:numPr>
      </w:pPr>
      <w:r>
        <w:rPr>
          <w:rFonts w:ascii="Aptos" w:hAnsi="Aptos"/>
          <w:color w:val="1E252B"/>
        </w:rPr>
        <w:t>Emit and durably store a signed receipt before marking the action complete.</w:t>
      </w:r>
    </w:p>
    <w:p>
      <w:pPr>
        <w:pStyle w:val="Heading2"/>
        <w:keepNext/>
      </w:pPr>
      <w:r>
        <w:t>6.3 Agent boundary</w:t>
      </w:r>
    </w:p>
    <w:p>
      <w:pPr/>
      <w:r>
        <w:rPr>
          <w:rFonts w:ascii="Aptos" w:hAnsi="Aptos"/>
          <w:color w:val="1E252B"/>
        </w:rPr>
        <w:t>Agents may create proposals, plans, patches, action requests, and evidence summaries. They may not directly hold unrestricted host administration, mutate policy that governs their own action, bypass protected GitHub state, or suppress evidence. Host-level work is mediated through a narrow supervisor that validates action envelopes.</w:t>
      </w:r>
    </w:p>
    <w:p>
      <w:pPr>
        <w:pStyle w:val="Heading1"/>
        <w:keepNext/>
      </w:pPr>
      <w:r>
        <w:t>7. Multi-environment execution</w:t>
      </w:r>
    </w:p>
    <w:p>
      <w:pPr>
        <w:pStyle w:val="Heading2"/>
        <w:keepNext/>
      </w:pPr>
      <w:r>
        <w:t>7.1 Environment model</w:t>
      </w:r>
    </w:p>
    <w:tbl>
      <w:tblPr>
        <w:tblStyle w:val="TableGrid"/>
        <w:tblW w:type="dxa" w:w="9360"/>
        <w:tblLayout w:type="fixed"/>
        <w:tblLook w:firstColumn="1" w:firstRow="1" w:lastColumn="0" w:lastRow="0" w:noHBand="0" w:noVBand="1" w:val="04A0"/>
        <w:jc w:val="left"/>
        <w:tblInd w:w="130" w:type="dxa"/>
      </w:tblPr>
      <w:tblGrid>
        <w:gridCol w:w="1500"/>
        <w:gridCol w:w="4930"/>
        <w:gridCol w:w="2930"/>
      </w:tblGrid>
      <w:tr>
        <w:trPr>
          <w:tblHeader w:val="true"/>
          <w:cantSplit/>
        </w:trPr>
        <w:tc>
          <w:tcPr>
            <w:tcW w:type="dxa" w:w="1500"/>
            <w:tcMar>
              <w:top w:w="100" w:type="dxa"/>
              <w:start w:w="130" w:type="dxa"/>
              <w:bottom w:w="100" w:type="dxa"/>
              <w:end w:w="130" w:type="dxa"/>
            </w:tcMar>
            <w:vAlign w:val="center"/>
            <w:shd w:fill="14213D"/>
          </w:tcPr>
          <w:p>
            <w:pPr>
              <w:spacing w:after="0"/>
              <w:jc w:val="left"/>
            </w:pPr>
            <w:r>
              <w:rPr>
                <w:rFonts w:ascii="Aptos" w:hAnsi="Aptos"/>
                <w:b/>
                <w:color w:val="FFFFFF"/>
                <w:sz w:val="16"/>
              </w:rPr>
              <w:t>Environment</w:t>
            </w:r>
          </w:p>
        </w:tc>
        <w:tc>
          <w:tcPr>
            <w:tcW w:type="dxa" w:w="4930"/>
            <w:tcMar>
              <w:top w:w="100" w:type="dxa"/>
              <w:start w:w="130" w:type="dxa"/>
              <w:bottom w:w="100" w:type="dxa"/>
              <w:end w:w="130" w:type="dxa"/>
            </w:tcMar>
            <w:vAlign w:val="center"/>
            <w:shd w:fill="14213D"/>
          </w:tcPr>
          <w:p>
            <w:pPr>
              <w:spacing w:after="0"/>
              <w:jc w:val="left"/>
            </w:pPr>
            <w:r>
              <w:rPr>
                <w:rFonts w:ascii="Aptos" w:hAnsi="Aptos"/>
                <w:b/>
                <w:color w:val="FFFFFF"/>
                <w:sz w:val="16"/>
              </w:rPr>
              <w:t>Purpose</w:t>
            </w:r>
          </w:p>
        </w:tc>
        <w:tc>
          <w:tcPr>
            <w:tcW w:type="dxa" w:w="2930"/>
            <w:tcMar>
              <w:top w:w="100" w:type="dxa"/>
              <w:start w:w="130" w:type="dxa"/>
              <w:bottom w:w="100" w:type="dxa"/>
              <w:end w:w="130" w:type="dxa"/>
            </w:tcMar>
            <w:vAlign w:val="center"/>
            <w:shd w:fill="14213D"/>
          </w:tcPr>
          <w:p>
            <w:pPr>
              <w:spacing w:after="0"/>
              <w:jc w:val="left"/>
            </w:pPr>
            <w:r>
              <w:rPr>
                <w:rFonts w:ascii="Aptos" w:hAnsi="Aptos"/>
                <w:b/>
                <w:color w:val="FFFFFF"/>
                <w:sz w:val="16"/>
              </w:rPr>
              <w:t>Boundary</w:t>
            </w:r>
          </w:p>
        </w:tc>
      </w:tr>
      <w:tr>
        <w:trPr>
          <w:cantSplit/>
        </w:trPr>
        <w:tc>
          <w:tcPr>
            <w:tcW w:type="dxa" w:w="1500"/>
            <w:tcMar>
              <w:top w:w="100" w:type="dxa"/>
              <w:start w:w="130" w:type="dxa"/>
              <w:bottom w:w="100" w:type="dxa"/>
              <w:end w:w="130" w:type="dxa"/>
            </w:tcMar>
            <w:vAlign w:val="center"/>
          </w:tcPr>
          <w:p>
            <w:pPr>
              <w:spacing w:after="0" w:line="259" w:lineRule="auto"/>
            </w:pPr>
            <w:r>
              <w:rPr>
                <w:rFonts w:ascii="Aptos" w:hAnsi="Aptos"/>
                <w:color w:val="1E252B"/>
                <w:sz w:val="16"/>
              </w:rPr>
              <w:t>Development</w:t>
            </w:r>
          </w:p>
        </w:tc>
        <w:tc>
          <w:tcPr>
            <w:tcW w:type="dxa" w:w="4930"/>
            <w:tcMar>
              <w:top w:w="100" w:type="dxa"/>
              <w:start w:w="130" w:type="dxa"/>
              <w:bottom w:w="100" w:type="dxa"/>
              <w:end w:w="130" w:type="dxa"/>
            </w:tcMar>
            <w:vAlign w:val="center"/>
          </w:tcPr>
          <w:p>
            <w:pPr>
              <w:spacing w:after="0" w:line="259" w:lineRule="auto"/>
            </w:pPr>
            <w:r>
              <w:rPr>
                <w:rFonts w:ascii="Aptos" w:hAnsi="Aptos"/>
                <w:color w:val="1E252B"/>
                <w:sz w:val="16"/>
              </w:rPr>
              <w:t>Fast iteration; broad observability; disposable workloads; synthetic or explicitly approved data.</w:t>
            </w:r>
          </w:p>
        </w:tc>
        <w:tc>
          <w:tcPr>
            <w:tcW w:type="dxa" w:w="2930"/>
            <w:tcMar>
              <w:top w:w="100" w:type="dxa"/>
              <w:start w:w="130" w:type="dxa"/>
              <w:bottom w:w="100" w:type="dxa"/>
              <w:end w:w="130" w:type="dxa"/>
            </w:tcMar>
            <w:vAlign w:val="center"/>
          </w:tcPr>
          <w:p>
            <w:pPr>
              <w:spacing w:after="0" w:line="259" w:lineRule="auto"/>
            </w:pPr>
            <w:r>
              <w:rPr>
                <w:rFonts w:ascii="Aptos" w:hAnsi="Aptos"/>
                <w:color w:val="1E252B"/>
                <w:sz w:val="16"/>
              </w:rPr>
              <w:t>No inherited operational secrets or networks.</w:t>
            </w:r>
          </w:p>
        </w:tc>
      </w:tr>
      <w:tr>
        <w:trPr>
          <w:cantSplit/>
        </w:trPr>
        <w:tc>
          <w:tcPr>
            <w:tcW w:type="dxa" w:w="1500"/>
            <w:shd w:fill="F7F9FB"/>
            <w:tcMar>
              <w:top w:w="100" w:type="dxa"/>
              <w:start w:w="130" w:type="dxa"/>
              <w:bottom w:w="100" w:type="dxa"/>
              <w:end w:w="130" w:type="dxa"/>
            </w:tcMar>
            <w:vAlign w:val="center"/>
          </w:tcPr>
          <w:p>
            <w:pPr>
              <w:spacing w:after="0" w:line="259" w:lineRule="auto"/>
            </w:pPr>
            <w:r>
              <w:rPr>
                <w:rFonts w:ascii="Aptos" w:hAnsi="Aptos"/>
                <w:color w:val="1E252B"/>
                <w:sz w:val="16"/>
              </w:rPr>
              <w:t>Testing</w:t>
            </w:r>
          </w:p>
        </w:tc>
        <w:tc>
          <w:tcPr>
            <w:tcW w:type="dxa" w:w="4930"/>
            <w:shd w:fill="F7F9FB"/>
            <w:tcMar>
              <w:top w:w="100" w:type="dxa"/>
              <w:start w:w="130" w:type="dxa"/>
              <w:bottom w:w="100" w:type="dxa"/>
              <w:end w:w="130" w:type="dxa"/>
            </w:tcMar>
            <w:vAlign w:val="center"/>
          </w:tcPr>
          <w:p>
            <w:pPr>
              <w:spacing w:after="0" w:line="259" w:lineRule="auto"/>
            </w:pPr>
            <w:r>
              <w:rPr>
                <w:rFonts w:ascii="Aptos" w:hAnsi="Aptos"/>
                <w:color w:val="1E252B"/>
                <w:sz w:val="16"/>
              </w:rPr>
              <w:t>Release candidate validation; integration and recovery rehearsal; production-like policy where useful.</w:t>
            </w:r>
          </w:p>
        </w:tc>
        <w:tc>
          <w:tcPr>
            <w:tcW w:type="dxa" w:w="2930"/>
            <w:shd w:fill="F7F9FB"/>
            <w:tcMar>
              <w:top w:w="100" w:type="dxa"/>
              <w:start w:w="130" w:type="dxa"/>
              <w:bottom w:w="100" w:type="dxa"/>
              <w:end w:w="130" w:type="dxa"/>
            </w:tcMar>
            <w:vAlign w:val="center"/>
          </w:tcPr>
          <w:p>
            <w:pPr>
              <w:spacing w:after="0" w:line="259" w:lineRule="auto"/>
            </w:pPr>
            <w:r>
              <w:rPr>
                <w:rFonts w:ascii="Aptos" w:hAnsi="Aptos"/>
                <w:color w:val="1E252B"/>
                <w:sz w:val="16"/>
              </w:rPr>
              <w:t>Promotion artifact must match the signed candidate.</w:t>
            </w:r>
          </w:p>
        </w:tc>
      </w:tr>
      <w:tr>
        <w:trPr>
          <w:cantSplit/>
        </w:trPr>
        <w:tc>
          <w:tcPr>
            <w:tcW w:type="dxa" w:w="1500"/>
            <w:tcMar>
              <w:top w:w="100" w:type="dxa"/>
              <w:start w:w="130" w:type="dxa"/>
              <w:bottom w:w="100" w:type="dxa"/>
              <w:end w:w="130" w:type="dxa"/>
            </w:tcMar>
            <w:vAlign w:val="center"/>
          </w:tcPr>
          <w:p>
            <w:pPr>
              <w:spacing w:after="0" w:line="259" w:lineRule="auto"/>
            </w:pPr>
            <w:r>
              <w:rPr>
                <w:rFonts w:ascii="Aptos" w:hAnsi="Aptos"/>
                <w:color w:val="1E252B"/>
                <w:sz w:val="16"/>
              </w:rPr>
              <w:t>Operational</w:t>
            </w:r>
          </w:p>
        </w:tc>
        <w:tc>
          <w:tcPr>
            <w:tcW w:type="dxa" w:w="4930"/>
            <w:tcMar>
              <w:top w:w="100" w:type="dxa"/>
              <w:start w:w="130" w:type="dxa"/>
              <w:bottom w:w="100" w:type="dxa"/>
              <w:end w:w="130" w:type="dxa"/>
            </w:tcMar>
            <w:vAlign w:val="center"/>
          </w:tcPr>
          <w:p>
            <w:pPr>
              <w:spacing w:after="0" w:line="259" w:lineRule="auto"/>
            </w:pPr>
            <w:r>
              <w:rPr>
                <w:rFonts w:ascii="Aptos" w:hAnsi="Aptos"/>
                <w:color w:val="1E252B"/>
                <w:sz w:val="16"/>
              </w:rPr>
              <w:t>Stable services and real operational state; signed releases only; strongest evidence and rollback.</w:t>
            </w:r>
          </w:p>
        </w:tc>
        <w:tc>
          <w:tcPr>
            <w:tcW w:type="dxa" w:w="2930"/>
            <w:tcMar>
              <w:top w:w="100" w:type="dxa"/>
              <w:start w:w="130" w:type="dxa"/>
              <w:bottom w:w="100" w:type="dxa"/>
              <w:end w:w="130" w:type="dxa"/>
            </w:tcMar>
            <w:vAlign w:val="center"/>
          </w:tcPr>
          <w:p>
            <w:pPr>
              <w:spacing w:after="0" w:line="259" w:lineRule="auto"/>
            </w:pPr>
            <w:r>
              <w:rPr>
                <w:rFonts w:ascii="Aptos" w:hAnsi="Aptos"/>
                <w:color w:val="1E252B"/>
                <w:sz w:val="16"/>
              </w:rPr>
              <w:t>No direct deployment from a developer workspace.</w:t>
            </w:r>
          </w:p>
        </w:tc>
      </w:tr>
    </w:tbl>
    <w:p>
      <w:pPr>
        <w:spacing w:after="40"/>
      </w:pPr>
    </w:p>
    <w:p>
      <w:pPr>
        <w:pStyle w:val="Heading2"/>
        <w:keepNext/>
      </w:pPr>
      <w:r>
        <w:t>7.2 Rootless container standard</w:t>
      </w:r>
    </w:p>
    <w:p>
      <w:pPr>
        <w:pStyle w:val="NyvoraCallout"/>
        <w:shd w:fill="E8F0F8"/>
        <w:keepLines/>
        <w:pBdr>
          <w:left w:val="single" w:sz="18" w:space="8" w:color="1F5A94"/>
        </w:pBdr>
      </w:pPr>
      <w:r>
        <w:rPr>
          <w:rFonts w:ascii="Aptos" w:hAnsi="Aptos"/>
          <w:b/>
          <w:color w:val="1F5A94"/>
          <w:sz w:val="18"/>
        </w:rPr>
        <w:t xml:space="preserve">DECISION  </w:t>
      </w:r>
      <w:r>
        <w:rPr>
          <w:rFonts w:ascii="Aptos" w:hAnsi="Aptos"/>
          <w:color w:val="1E252B"/>
          <w:sz w:val="21"/>
        </w:rPr>
        <w:t>Rootless OCI containers are Nyvora's standard workload boundary. Virtual machines are an explicit exception for workloads whose isolation requirement cannot be satisfied by a shared host kernel.</w:t>
      </w:r>
    </w:p>
    <w:p>
      <w:pPr>
        <w:pStyle w:val="NyvoraList"/>
        <w:numPr>
          <w:ilvl w:val="0"/>
          <w:numId w:val="10"/>
        </w:numPr>
      </w:pPr>
      <w:r>
        <w:rPr>
          <w:rFonts w:ascii="Aptos" w:hAnsi="Aptos"/>
          <w:color w:val="1E252B"/>
        </w:rPr>
        <w:t xml:space="preserve"> No privileged containers by default.</w:t>
      </w:r>
    </w:p>
    <w:p>
      <w:pPr>
        <w:pStyle w:val="NyvoraList"/>
        <w:numPr>
          <w:ilvl w:val="0"/>
          <w:numId w:val="10"/>
        </w:numPr>
      </w:pPr>
      <w:r>
        <w:rPr>
          <w:rFonts w:ascii="Aptos" w:hAnsi="Aptos"/>
          <w:color w:val="1E252B"/>
        </w:rPr>
        <w:t xml:space="preserve"> No unrestricted Docker or Podman socket exposure to agents or workloads.</w:t>
      </w:r>
    </w:p>
    <w:p>
      <w:pPr>
        <w:pStyle w:val="NyvoraList"/>
        <w:numPr>
          <w:ilvl w:val="0"/>
          <w:numId w:val="10"/>
        </w:numPr>
      </w:pPr>
      <w:r>
        <w:rPr>
          <w:rFonts w:ascii="Aptos" w:hAnsi="Aptos"/>
          <w:color w:val="1E252B"/>
        </w:rPr>
        <w:t xml:space="preserve"> No broad host filesystem mounts, host networking, or undeclared device access.</w:t>
      </w:r>
    </w:p>
    <w:p>
      <w:pPr>
        <w:pStyle w:val="NyvoraList"/>
        <w:numPr>
          <w:ilvl w:val="0"/>
          <w:numId w:val="10"/>
        </w:numPr>
      </w:pPr>
      <w:r>
        <w:rPr>
          <w:rFonts w:ascii="Aptos" w:hAnsi="Aptos"/>
          <w:color w:val="1E252B"/>
        </w:rPr>
        <w:t xml:space="preserve"> Explicit capabilities, seccomp/AppArmor or equivalent policy, resource limits, network policy, and read-only filesystems where practical.</w:t>
      </w:r>
    </w:p>
    <w:p>
      <w:pPr>
        <w:pStyle w:val="NyvoraList"/>
        <w:numPr>
          <w:ilvl w:val="0"/>
          <w:numId w:val="10"/>
        </w:numPr>
      </w:pPr>
      <w:r>
        <w:rPr>
          <w:rFonts w:ascii="Aptos" w:hAnsi="Aptos"/>
          <w:color w:val="1E252B"/>
        </w:rPr>
        <w:t xml:space="preserve"> Separate service accounts, credentials, networks, volumes, and evidence scopes per environment.</w:t>
      </w:r>
    </w:p>
    <w:p>
      <w:pPr>
        <w:pStyle w:val="NyvoraList"/>
        <w:numPr>
          <w:ilvl w:val="0"/>
          <w:numId w:val="10"/>
        </w:numPr>
      </w:pPr>
      <w:r>
        <w:rPr>
          <w:rFonts w:ascii="Aptos" w:hAnsi="Aptos"/>
          <w:color w:val="1E252B"/>
        </w:rPr>
        <w:t xml:space="preserve"> Pinned images and signed artifacts; mutable tags are not operational deployment identities.</w:t>
      </w:r>
    </w:p>
    <w:p>
      <w:pPr>
        <w:pStyle w:val="NyvoraList"/>
        <w:numPr>
          <w:ilvl w:val="0"/>
          <w:numId w:val="10"/>
        </w:numPr>
      </w:pPr>
      <w:r>
        <w:rPr>
          <w:rFonts w:ascii="Aptos" w:hAnsi="Aptos"/>
          <w:color w:val="1E252B"/>
        </w:rPr>
        <w:t xml:space="preserve"> Host administration occurs through a small, independently audited supervisor rather than container escape hatches.</w:t>
      </w:r>
    </w:p>
    <w:p>
      <w:pPr>
        <w:pStyle w:val="Heading2"/>
        <w:keepNext/>
      </w:pPr>
      <w:r>
        <w:t>7.3 Placement policy</w:t>
      </w:r>
    </w:p>
    <w:p>
      <w:pPr/>
      <w:r>
        <w:rPr>
          <w:rFonts w:ascii="Aptos" w:hAnsi="Aptos"/>
          <w:color w:val="1E252B"/>
        </w:rPr>
        <w:t>Placement is capability- and risk-driven. ASUS is the normal compute host. VPS hosts edge and continuity functions and may run compatible lightweight workloads. The scheduler must account for environment, required secrets, data locality, resource limits, network exposure, and recovery characteristics. A workload is not portable merely because it is containerized.</w:t>
      </w:r>
    </w:p>
    <w:p>
      <w:pPr>
        <w:pStyle w:val="Heading1"/>
        <w:keepNext/>
      </w:pPr>
      <w:r>
        <w:t>8. Runtime state, messaging, and coordination</w:t>
      </w:r>
    </w:p>
    <w:tbl>
      <w:tblPr>
        <w:tblStyle w:val="TableGrid"/>
        <w:tblW w:type="dxa" w:w="9360"/>
        <w:tblLayout w:type="fixed"/>
        <w:tblLook w:firstColumn="1" w:firstRow="1" w:lastColumn="0" w:lastRow="0" w:noHBand="0" w:noVBand="1" w:val="04A0"/>
        <w:jc w:val="left"/>
        <w:tblInd w:w="130" w:type="dxa"/>
      </w:tblPr>
      <w:tblGrid>
        <w:gridCol w:w="1800"/>
        <w:gridCol w:w="4380"/>
        <w:gridCol w:w="3180"/>
      </w:tblGrid>
      <w:tr>
        <w:trPr>
          <w:tblHeader w:val="true"/>
          <w:cantSplit/>
        </w:trPr>
        <w:tc>
          <w:tcPr>
            <w:tcW w:type="dxa" w:w="1800"/>
            <w:tcMar>
              <w:top w:w="100" w:type="dxa"/>
              <w:start w:w="130" w:type="dxa"/>
              <w:bottom w:w="100" w:type="dxa"/>
              <w:end w:w="130" w:type="dxa"/>
            </w:tcMar>
            <w:vAlign w:val="center"/>
            <w:shd w:fill="14213D"/>
          </w:tcPr>
          <w:p>
            <w:pPr>
              <w:spacing w:after="0"/>
              <w:jc w:val="left"/>
            </w:pPr>
            <w:r>
              <w:rPr>
                <w:rFonts w:ascii="Aptos" w:hAnsi="Aptos"/>
                <w:b/>
                <w:color w:val="FFFFFF"/>
                <w:sz w:val="16"/>
              </w:rPr>
              <w:t>Component</w:t>
            </w:r>
          </w:p>
        </w:tc>
        <w:tc>
          <w:tcPr>
            <w:tcW w:type="dxa" w:w="4380"/>
            <w:tcMar>
              <w:top w:w="100" w:type="dxa"/>
              <w:start w:w="130" w:type="dxa"/>
              <w:bottom w:w="100" w:type="dxa"/>
              <w:end w:w="130" w:type="dxa"/>
            </w:tcMar>
            <w:vAlign w:val="center"/>
            <w:shd w:fill="14213D"/>
          </w:tcPr>
          <w:p>
            <w:pPr>
              <w:spacing w:after="0"/>
              <w:jc w:val="left"/>
            </w:pPr>
            <w:r>
              <w:rPr>
                <w:rFonts w:ascii="Aptos" w:hAnsi="Aptos"/>
                <w:b/>
                <w:color w:val="FFFFFF"/>
                <w:sz w:val="16"/>
              </w:rPr>
              <w:t>Role</w:t>
            </w:r>
          </w:p>
        </w:tc>
        <w:tc>
          <w:tcPr>
            <w:tcW w:type="dxa" w:w="3180"/>
            <w:tcMar>
              <w:top w:w="100" w:type="dxa"/>
              <w:start w:w="130" w:type="dxa"/>
              <w:bottom w:w="100" w:type="dxa"/>
              <w:end w:w="130" w:type="dxa"/>
            </w:tcMar>
            <w:vAlign w:val="center"/>
            <w:shd w:fill="14213D"/>
          </w:tcPr>
          <w:p>
            <w:pPr>
              <w:spacing w:after="0"/>
              <w:jc w:val="left"/>
            </w:pPr>
            <w:r>
              <w:rPr>
                <w:rFonts w:ascii="Aptos" w:hAnsi="Aptos"/>
                <w:b/>
                <w:color w:val="FFFFFF"/>
                <w:sz w:val="16"/>
              </w:rPr>
              <w:t>Must not do</w:t>
            </w:r>
          </w:p>
        </w:tc>
      </w:tr>
      <w:tr>
        <w:trPr>
          <w:cantSplit/>
        </w:trPr>
        <w:tc>
          <w:tcPr>
            <w:tcW w:type="dxa" w:w="1800"/>
            <w:tcMar>
              <w:top w:w="100" w:type="dxa"/>
              <w:start w:w="130" w:type="dxa"/>
              <w:bottom w:w="100" w:type="dxa"/>
              <w:end w:w="130" w:type="dxa"/>
            </w:tcMar>
            <w:vAlign w:val="center"/>
          </w:tcPr>
          <w:p>
            <w:pPr>
              <w:spacing w:after="0" w:line="259" w:lineRule="auto"/>
            </w:pPr>
            <w:r>
              <w:rPr>
                <w:rFonts w:ascii="Aptos" w:hAnsi="Aptos"/>
                <w:color w:val="1E252B"/>
                <w:sz w:val="16"/>
              </w:rPr>
              <w:t>Git repository</w:t>
            </w:r>
          </w:p>
        </w:tc>
        <w:tc>
          <w:tcPr>
            <w:tcW w:type="dxa" w:w="4380"/>
            <w:tcMar>
              <w:top w:w="100" w:type="dxa"/>
              <w:start w:w="130" w:type="dxa"/>
              <w:bottom w:w="100" w:type="dxa"/>
              <w:end w:w="130" w:type="dxa"/>
            </w:tcMar>
            <w:vAlign w:val="center"/>
          </w:tcPr>
          <w:p>
            <w:pPr>
              <w:spacing w:after="0" w:line="259" w:lineRule="auto"/>
            </w:pPr>
            <w:r>
              <w:rPr>
                <w:rFonts w:ascii="Aptos" w:hAnsi="Aptos"/>
                <w:color w:val="1E252B"/>
                <w:sz w:val="16"/>
              </w:rPr>
              <w:t>Durable desired state, policy, architecture, release and playbook definitions.</w:t>
            </w:r>
          </w:p>
        </w:tc>
        <w:tc>
          <w:tcPr>
            <w:tcW w:type="dxa" w:w="3180"/>
            <w:tcMar>
              <w:top w:w="100" w:type="dxa"/>
              <w:start w:w="130" w:type="dxa"/>
              <w:bottom w:w="100" w:type="dxa"/>
              <w:end w:w="130" w:type="dxa"/>
            </w:tcMar>
            <w:vAlign w:val="center"/>
          </w:tcPr>
          <w:p>
            <w:pPr>
              <w:spacing w:after="0" w:line="259" w:lineRule="auto"/>
            </w:pPr>
            <w:r>
              <w:rPr>
                <w:rFonts w:ascii="Aptos" w:hAnsi="Aptos"/>
                <w:color w:val="1E252B"/>
                <w:sz w:val="16"/>
              </w:rPr>
              <w:t>Store plaintext secrets or transient runtime truth.</w:t>
            </w:r>
          </w:p>
        </w:tc>
      </w:tr>
      <w:tr>
        <w:trPr>
          <w:cantSplit/>
        </w:trPr>
        <w:tc>
          <w:tcPr>
            <w:tcW w:type="dxa" w:w="1800"/>
            <w:shd w:fill="F7F9FB"/>
            <w:tcMar>
              <w:top w:w="100" w:type="dxa"/>
              <w:start w:w="130" w:type="dxa"/>
              <w:bottom w:w="100" w:type="dxa"/>
              <w:end w:w="130" w:type="dxa"/>
            </w:tcMar>
            <w:vAlign w:val="center"/>
          </w:tcPr>
          <w:p>
            <w:pPr>
              <w:spacing w:after="0" w:line="259" w:lineRule="auto"/>
            </w:pPr>
            <w:r>
              <w:rPr>
                <w:rFonts w:ascii="Aptos" w:hAnsi="Aptos"/>
                <w:color w:val="1E252B"/>
                <w:sz w:val="16"/>
              </w:rPr>
              <w:t>PostgreSQL</w:t>
            </w:r>
          </w:p>
        </w:tc>
        <w:tc>
          <w:tcPr>
            <w:tcW w:type="dxa" w:w="4380"/>
            <w:shd w:fill="F7F9FB"/>
            <w:tcMar>
              <w:top w:w="100" w:type="dxa"/>
              <w:start w:w="130" w:type="dxa"/>
              <w:bottom w:w="100" w:type="dxa"/>
              <w:end w:w="130" w:type="dxa"/>
            </w:tcMar>
            <w:vAlign w:val="center"/>
          </w:tcPr>
          <w:p>
            <w:pPr>
              <w:spacing w:after="0" w:line="259" w:lineRule="auto"/>
            </w:pPr>
            <w:r>
              <w:rPr>
                <w:rFonts w:ascii="Aptos" w:hAnsi="Aptos"/>
                <w:color w:val="1E252B"/>
                <w:sz w:val="16"/>
              </w:rPr>
              <w:t>Observed state, action records, inventory, leases, scheduling metadata, projections.</w:t>
            </w:r>
          </w:p>
        </w:tc>
        <w:tc>
          <w:tcPr>
            <w:tcW w:type="dxa" w:w="3180"/>
            <w:shd w:fill="F7F9FB"/>
            <w:tcMar>
              <w:top w:w="100" w:type="dxa"/>
              <w:start w:w="130" w:type="dxa"/>
              <w:bottom w:w="100" w:type="dxa"/>
              <w:end w:w="130" w:type="dxa"/>
            </w:tcMar>
            <w:vAlign w:val="center"/>
          </w:tcPr>
          <w:p>
            <w:pPr>
              <w:spacing w:after="0" w:line="259" w:lineRule="auto"/>
            </w:pPr>
            <w:r>
              <w:rPr>
                <w:rFonts w:ascii="Aptos" w:hAnsi="Aptos"/>
                <w:color w:val="1E252B"/>
                <w:sz w:val="16"/>
              </w:rPr>
              <w:t>Authorize change independently of signed desired state and policy.</w:t>
            </w:r>
          </w:p>
        </w:tc>
      </w:tr>
      <w:tr>
        <w:trPr>
          <w:cantSplit/>
        </w:trPr>
        <w:tc>
          <w:tcPr>
            <w:tcW w:type="dxa" w:w="1800"/>
            <w:tcMar>
              <w:top w:w="100" w:type="dxa"/>
              <w:start w:w="130" w:type="dxa"/>
              <w:bottom w:w="100" w:type="dxa"/>
              <w:end w:w="130" w:type="dxa"/>
            </w:tcMar>
            <w:vAlign w:val="center"/>
          </w:tcPr>
          <w:p>
            <w:pPr>
              <w:spacing w:after="0" w:line="259" w:lineRule="auto"/>
            </w:pPr>
            <w:r>
              <w:rPr>
                <w:rFonts w:ascii="Aptos" w:hAnsi="Aptos"/>
                <w:color w:val="1E252B"/>
                <w:sz w:val="16"/>
              </w:rPr>
              <w:t>NATS / event transport</w:t>
            </w:r>
          </w:p>
        </w:tc>
        <w:tc>
          <w:tcPr>
            <w:tcW w:type="dxa" w:w="4380"/>
            <w:tcMar>
              <w:top w:w="100" w:type="dxa"/>
              <w:start w:w="130" w:type="dxa"/>
              <w:bottom w:w="100" w:type="dxa"/>
              <w:end w:w="130" w:type="dxa"/>
            </w:tcMar>
            <w:vAlign w:val="center"/>
          </w:tcPr>
          <w:p>
            <w:pPr>
              <w:spacing w:after="0" w:line="259" w:lineRule="auto"/>
            </w:pPr>
            <w:r>
              <w:rPr>
                <w:rFonts w:ascii="Aptos" w:hAnsi="Aptos"/>
                <w:color w:val="1E252B"/>
                <w:sz w:val="16"/>
              </w:rPr>
              <w:t>Commands, events, acknowledgements, bounded replay, decoupled coordination.</w:t>
            </w:r>
          </w:p>
        </w:tc>
        <w:tc>
          <w:tcPr>
            <w:tcW w:type="dxa" w:w="3180"/>
            <w:tcMar>
              <w:top w:w="100" w:type="dxa"/>
              <w:start w:w="130" w:type="dxa"/>
              <w:bottom w:w="100" w:type="dxa"/>
              <w:end w:w="130" w:type="dxa"/>
            </w:tcMar>
            <w:vAlign w:val="center"/>
          </w:tcPr>
          <w:p>
            <w:pPr>
              <w:spacing w:after="0" w:line="259" w:lineRule="auto"/>
            </w:pPr>
            <w:r>
              <w:rPr>
                <w:rFonts w:ascii="Aptos" w:hAnsi="Aptos"/>
                <w:color w:val="1E252B"/>
                <w:sz w:val="16"/>
              </w:rPr>
              <w:t>Become the only copy of authority, evidence, or recovery state.</w:t>
            </w:r>
          </w:p>
        </w:tc>
      </w:tr>
      <w:tr>
        <w:trPr>
          <w:cantSplit/>
        </w:trPr>
        <w:tc>
          <w:tcPr>
            <w:tcW w:type="dxa" w:w="1800"/>
            <w:shd w:fill="F7F9FB"/>
            <w:tcMar>
              <w:top w:w="100" w:type="dxa"/>
              <w:start w:w="130" w:type="dxa"/>
              <w:bottom w:w="100" w:type="dxa"/>
              <w:end w:w="130" w:type="dxa"/>
            </w:tcMar>
            <w:vAlign w:val="center"/>
          </w:tcPr>
          <w:p>
            <w:pPr>
              <w:spacing w:after="0" w:line="259" w:lineRule="auto"/>
            </w:pPr>
            <w:r>
              <w:rPr>
                <w:rFonts w:ascii="Aptos" w:hAnsi="Aptos"/>
                <w:color w:val="1E252B"/>
                <w:sz w:val="16"/>
              </w:rPr>
              <w:t>Signed cache</w:t>
            </w:r>
          </w:p>
        </w:tc>
        <w:tc>
          <w:tcPr>
            <w:tcW w:type="dxa" w:w="4380"/>
            <w:shd w:fill="F7F9FB"/>
            <w:tcMar>
              <w:top w:w="100" w:type="dxa"/>
              <w:start w:w="130" w:type="dxa"/>
              <w:bottom w:w="100" w:type="dxa"/>
              <w:end w:w="130" w:type="dxa"/>
            </w:tcMar>
            <w:vAlign w:val="center"/>
          </w:tcPr>
          <w:p>
            <w:pPr>
              <w:spacing w:after="0" w:line="259" w:lineRule="auto"/>
            </w:pPr>
            <w:r>
              <w:rPr>
                <w:rFonts w:ascii="Aptos" w:hAnsi="Aptos"/>
                <w:color w:val="1E252B"/>
                <w:sz w:val="16"/>
              </w:rPr>
              <w:t>Previously approved schedules, releases, policies, and playbooks for bounded offline continuity.</w:t>
            </w:r>
          </w:p>
        </w:tc>
        <w:tc>
          <w:tcPr>
            <w:tcW w:type="dxa" w:w="3180"/>
            <w:shd w:fill="F7F9FB"/>
            <w:tcMar>
              <w:top w:w="100" w:type="dxa"/>
              <w:start w:w="130" w:type="dxa"/>
              <w:bottom w:w="100" w:type="dxa"/>
              <w:end w:w="130" w:type="dxa"/>
            </w:tcMar>
            <w:vAlign w:val="center"/>
          </w:tcPr>
          <w:p>
            <w:pPr>
              <w:spacing w:after="0" w:line="259" w:lineRule="auto"/>
            </w:pPr>
            <w:r>
              <w:rPr>
                <w:rFonts w:ascii="Aptos" w:hAnsi="Aptos"/>
                <w:color w:val="1E252B"/>
                <w:sz w:val="16"/>
              </w:rPr>
              <w:t>Accept new intent while GitHub is unavailable.</w:t>
            </w:r>
          </w:p>
        </w:tc>
      </w:tr>
      <w:tr>
        <w:trPr>
          <w:cantSplit/>
        </w:trPr>
        <w:tc>
          <w:tcPr>
            <w:tcW w:type="dxa" w:w="1800"/>
            <w:tcMar>
              <w:top w:w="100" w:type="dxa"/>
              <w:start w:w="130" w:type="dxa"/>
              <w:bottom w:w="100" w:type="dxa"/>
              <w:end w:w="130" w:type="dxa"/>
            </w:tcMar>
            <w:vAlign w:val="center"/>
          </w:tcPr>
          <w:p>
            <w:pPr>
              <w:spacing w:after="0" w:line="259" w:lineRule="auto"/>
            </w:pPr>
            <w:r>
              <w:rPr>
                <w:rFonts w:ascii="Aptos" w:hAnsi="Aptos"/>
                <w:color w:val="1E252B"/>
                <w:sz w:val="16"/>
              </w:rPr>
              <w:t>Evidence store</w:t>
            </w:r>
          </w:p>
        </w:tc>
        <w:tc>
          <w:tcPr>
            <w:tcW w:type="dxa" w:w="4380"/>
            <w:tcMar>
              <w:top w:w="100" w:type="dxa"/>
              <w:start w:w="130" w:type="dxa"/>
              <w:bottom w:w="100" w:type="dxa"/>
              <w:end w:w="130" w:type="dxa"/>
            </w:tcMar>
            <w:vAlign w:val="center"/>
          </w:tcPr>
          <w:p>
            <w:pPr>
              <w:spacing w:after="0" w:line="259" w:lineRule="auto"/>
            </w:pPr>
            <w:r>
              <w:rPr>
                <w:rFonts w:ascii="Aptos" w:hAnsi="Aptos"/>
                <w:color w:val="1E252B"/>
                <w:sz w:val="16"/>
              </w:rPr>
              <w:t>Durable signed receipts and integrity chain.</w:t>
            </w:r>
          </w:p>
        </w:tc>
        <w:tc>
          <w:tcPr>
            <w:tcW w:type="dxa" w:w="3180"/>
            <w:tcMar>
              <w:top w:w="100" w:type="dxa"/>
              <w:start w:w="130" w:type="dxa"/>
              <w:bottom w:w="100" w:type="dxa"/>
              <w:end w:w="130" w:type="dxa"/>
            </w:tcMar>
            <w:vAlign w:val="center"/>
          </w:tcPr>
          <w:p>
            <w:pPr>
              <w:spacing w:after="0" w:line="259" w:lineRule="auto"/>
            </w:pPr>
            <w:r>
              <w:rPr>
                <w:rFonts w:ascii="Aptos" w:hAnsi="Aptos"/>
                <w:color w:val="1E252B"/>
                <w:sz w:val="16"/>
              </w:rPr>
              <w:t>Act as a control command source.</w:t>
            </w:r>
          </w:p>
        </w:tc>
      </w:tr>
    </w:tbl>
    <w:p>
      <w:pPr>
        <w:spacing w:after="40"/>
      </w:pPr>
    </w:p>
    <w:p>
      <w:pPr>
        <w:pStyle w:val="Heading2"/>
        <w:keepNext/>
      </w:pPr>
      <w:r>
        <w:t>8.1 State reconstruction</w:t>
      </w:r>
    </w:p>
    <w:p>
      <w:pPr/>
      <w:r>
        <w:rPr>
          <w:rFonts w:ascii="Aptos" w:hAnsi="Aptos"/>
          <w:color w:val="1E252B"/>
        </w:rPr>
        <w:t>Control-plane runtime state should be reconstructable from protected desired state, signed evidence, inventory discovery, and workload-specific backups. PostgreSQL improves operation but is not the sole path to reconstruct authority. NATS loss may interrupt work but must not erase the only record of approved intent or completed effects.</w:t>
      </w:r>
    </w:p>
    <w:p>
      <w:pPr>
        <w:pStyle w:val="Heading2"/>
        <w:keepNext/>
      </w:pPr>
      <w:r>
        <w:t>8.2 Scheduling</w:t>
      </w:r>
    </w:p>
    <w:p>
      <w:pPr/>
      <w:r>
        <w:rPr>
          <w:rFonts w:ascii="Aptos" w:hAnsi="Aptos"/>
          <w:color w:val="1E252B"/>
        </w:rPr>
        <w:t>Schedules are defined and approved in GitHub, compiled into signed schedule bundles, cached on the always-on nodes, and executed only while policy and validity windows remain satisfied. During a GitHub outage, only previously verified, signed, unexpired bundles may run; changing a schedule or accepting new owner intent is prohibited. Pausing execution locally is always permitted as a safety action and is evidenced; resumption requires valid cached or restored desired state.</w:t>
      </w:r>
    </w:p>
    <w:p>
      <w:pPr>
        <w:pStyle w:val="Heading1"/>
        <w:keepNext/>
      </w:pPr>
      <w:r>
        <w:t>9. Operator interfaces</w:t>
      </w:r>
    </w:p>
    <w:p>
      <w:pPr>
        <w:pStyle w:val="NyvoraCallout"/>
        <w:shd w:fill="DDF3F1"/>
        <w:keepLines/>
        <w:pBdr>
          <w:left w:val="single" w:sz="18" w:space="8" w:color="248A84"/>
        </w:pBdr>
      </w:pPr>
      <w:r>
        <w:rPr>
          <w:rFonts w:ascii="Aptos" w:hAnsi="Aptos"/>
          <w:b/>
          <w:color w:val="248A84"/>
          <w:sz w:val="18"/>
        </w:rPr>
        <w:t xml:space="preserve">RECOMMENDED HIERARCHY  </w:t>
      </w:r>
      <w:r>
        <w:rPr>
          <w:rFonts w:ascii="Aptos" w:hAnsi="Aptos"/>
          <w:color w:val="1E252B"/>
          <w:sz w:val="21"/>
        </w:rPr>
        <w:t>Conversational interfaces capture intent; Nyvora Console provides oversight and evidence; GitHub holds durable desired state; CLI and documented recovery procedures provide precision and break-glass control.</w:t>
      </w:r>
    </w:p>
    <w:tbl>
      <w:tblPr>
        <w:tblStyle w:val="TableGrid"/>
        <w:tblW w:type="dxa" w:w="9360"/>
        <w:tblLayout w:type="fixed"/>
        <w:tblLook w:firstColumn="1" w:firstRow="1" w:lastColumn="0" w:lastRow="0" w:noHBand="0" w:noVBand="1" w:val="04A0"/>
        <w:jc w:val="left"/>
        <w:tblInd w:w="130" w:type="dxa"/>
      </w:tblPr>
      <w:tblGrid>
        <w:gridCol w:w="1500"/>
        <w:gridCol w:w="4270"/>
        <w:gridCol w:w="3590"/>
      </w:tblGrid>
      <w:tr>
        <w:trPr>
          <w:tblHeader w:val="true"/>
          <w:cantSplit/>
        </w:trPr>
        <w:tc>
          <w:tcPr>
            <w:tcW w:type="dxa" w:w="1500"/>
            <w:tcMar>
              <w:top w:w="100" w:type="dxa"/>
              <w:start w:w="130" w:type="dxa"/>
              <w:bottom w:w="100" w:type="dxa"/>
              <w:end w:w="130" w:type="dxa"/>
            </w:tcMar>
            <w:vAlign w:val="center"/>
            <w:shd w:fill="14213D"/>
          </w:tcPr>
          <w:p>
            <w:pPr>
              <w:spacing w:after="0"/>
              <w:jc w:val="left"/>
            </w:pPr>
            <w:r>
              <w:rPr>
                <w:rFonts w:ascii="Aptos" w:hAnsi="Aptos"/>
                <w:b/>
                <w:color w:val="FFFFFF"/>
                <w:sz w:val="16"/>
              </w:rPr>
              <w:t>Surface</w:t>
            </w:r>
          </w:p>
        </w:tc>
        <w:tc>
          <w:tcPr>
            <w:tcW w:type="dxa" w:w="4270"/>
            <w:tcMar>
              <w:top w:w="100" w:type="dxa"/>
              <w:start w:w="130" w:type="dxa"/>
              <w:bottom w:w="100" w:type="dxa"/>
              <w:end w:w="130" w:type="dxa"/>
            </w:tcMar>
            <w:vAlign w:val="center"/>
            <w:shd w:fill="14213D"/>
          </w:tcPr>
          <w:p>
            <w:pPr>
              <w:spacing w:after="0"/>
              <w:jc w:val="left"/>
            </w:pPr>
            <w:r>
              <w:rPr>
                <w:rFonts w:ascii="Aptos" w:hAnsi="Aptos"/>
                <w:b/>
                <w:color w:val="FFFFFF"/>
                <w:sz w:val="16"/>
              </w:rPr>
              <w:t>Primary job</w:t>
            </w:r>
          </w:p>
        </w:tc>
        <w:tc>
          <w:tcPr>
            <w:tcW w:type="dxa" w:w="3590"/>
            <w:tcMar>
              <w:top w:w="100" w:type="dxa"/>
              <w:start w:w="130" w:type="dxa"/>
              <w:bottom w:w="100" w:type="dxa"/>
              <w:end w:w="130" w:type="dxa"/>
            </w:tcMar>
            <w:vAlign w:val="center"/>
            <w:shd w:fill="14213D"/>
          </w:tcPr>
          <w:p>
            <w:pPr>
              <w:spacing w:after="0"/>
              <w:jc w:val="left"/>
            </w:pPr>
            <w:r>
              <w:rPr>
                <w:rFonts w:ascii="Aptos" w:hAnsi="Aptos"/>
                <w:b/>
                <w:color w:val="FFFFFF"/>
                <w:sz w:val="16"/>
              </w:rPr>
              <w:t>Boundary</w:t>
            </w:r>
          </w:p>
        </w:tc>
      </w:tr>
      <w:tr>
        <w:trPr>
          <w:cantSplit/>
        </w:trPr>
        <w:tc>
          <w:tcPr>
            <w:tcW w:type="dxa" w:w="1500"/>
            <w:tcMar>
              <w:top w:w="100" w:type="dxa"/>
              <w:start w:w="130" w:type="dxa"/>
              <w:bottom w:w="100" w:type="dxa"/>
              <w:end w:w="130" w:type="dxa"/>
            </w:tcMar>
            <w:vAlign w:val="center"/>
          </w:tcPr>
          <w:p>
            <w:pPr>
              <w:spacing w:after="0" w:line="259" w:lineRule="auto"/>
            </w:pPr>
            <w:r>
              <w:rPr>
                <w:rFonts w:ascii="Aptos" w:hAnsi="Aptos"/>
                <w:color w:val="1E252B"/>
                <w:sz w:val="16"/>
              </w:rPr>
              <w:t>Conversation</w:t>
            </w:r>
          </w:p>
        </w:tc>
        <w:tc>
          <w:tcPr>
            <w:tcW w:type="dxa" w:w="4270"/>
            <w:tcMar>
              <w:top w:w="100" w:type="dxa"/>
              <w:start w:w="130" w:type="dxa"/>
              <w:bottom w:w="100" w:type="dxa"/>
              <w:end w:w="130" w:type="dxa"/>
            </w:tcMar>
            <w:vAlign w:val="center"/>
          </w:tcPr>
          <w:p>
            <w:pPr>
              <w:spacing w:after="0" w:line="259" w:lineRule="auto"/>
            </w:pPr>
            <w:r>
              <w:rPr>
                <w:rFonts w:ascii="Aptos" w:hAnsi="Aptos"/>
                <w:color w:val="1E252B"/>
                <w:sz w:val="16"/>
              </w:rPr>
              <w:t>Goals, explanation, proposal generation, incident dialogue.</w:t>
            </w:r>
          </w:p>
        </w:tc>
        <w:tc>
          <w:tcPr>
            <w:tcW w:type="dxa" w:w="3590"/>
            <w:tcMar>
              <w:top w:w="100" w:type="dxa"/>
              <w:start w:w="130" w:type="dxa"/>
              <w:bottom w:w="100" w:type="dxa"/>
              <w:end w:w="130" w:type="dxa"/>
            </w:tcMar>
            <w:vAlign w:val="center"/>
          </w:tcPr>
          <w:p>
            <w:pPr>
              <w:spacing w:after="0" w:line="259" w:lineRule="auto"/>
            </w:pPr>
            <w:r>
              <w:rPr>
                <w:rFonts w:ascii="Aptos" w:hAnsi="Aptos"/>
                <w:color w:val="1E252B"/>
                <w:sz w:val="16"/>
              </w:rPr>
              <w:t>Cannot be the sole durable approval or source of desired state.</w:t>
            </w:r>
          </w:p>
        </w:tc>
      </w:tr>
      <w:tr>
        <w:trPr>
          <w:cantSplit/>
        </w:trPr>
        <w:tc>
          <w:tcPr>
            <w:tcW w:type="dxa" w:w="1500"/>
            <w:shd w:fill="F7F9FB"/>
            <w:tcMar>
              <w:top w:w="100" w:type="dxa"/>
              <w:start w:w="130" w:type="dxa"/>
              <w:bottom w:w="100" w:type="dxa"/>
              <w:end w:w="130" w:type="dxa"/>
            </w:tcMar>
            <w:vAlign w:val="center"/>
          </w:tcPr>
          <w:p>
            <w:pPr>
              <w:spacing w:after="0" w:line="259" w:lineRule="auto"/>
            </w:pPr>
            <w:r>
              <w:rPr>
                <w:rFonts w:ascii="Aptos" w:hAnsi="Aptos"/>
                <w:color w:val="1E252B"/>
                <w:sz w:val="16"/>
              </w:rPr>
              <w:t>Nyvora Console</w:t>
            </w:r>
          </w:p>
        </w:tc>
        <w:tc>
          <w:tcPr>
            <w:tcW w:type="dxa" w:w="4270"/>
            <w:shd w:fill="F7F9FB"/>
            <w:tcMar>
              <w:top w:w="100" w:type="dxa"/>
              <w:start w:w="130" w:type="dxa"/>
              <w:bottom w:w="100" w:type="dxa"/>
              <w:end w:w="130" w:type="dxa"/>
            </w:tcMar>
            <w:vAlign w:val="center"/>
          </w:tcPr>
          <w:p>
            <w:pPr>
              <w:spacing w:after="0" w:line="259" w:lineRule="auto"/>
            </w:pPr>
            <w:r>
              <w:rPr>
                <w:rFonts w:ascii="Aptos" w:hAnsi="Aptos"/>
                <w:color w:val="1E252B"/>
                <w:sz w:val="16"/>
              </w:rPr>
              <w:t>Health, drift, queued actions, risk, evidence, approvals, recovery posture.</w:t>
            </w:r>
          </w:p>
        </w:tc>
        <w:tc>
          <w:tcPr>
            <w:tcW w:type="dxa" w:w="3590"/>
            <w:shd w:fill="F7F9FB"/>
            <w:tcMar>
              <w:top w:w="100" w:type="dxa"/>
              <w:start w:w="130" w:type="dxa"/>
              <w:bottom w:w="100" w:type="dxa"/>
              <w:end w:w="130" w:type="dxa"/>
            </w:tcMar>
            <w:vAlign w:val="center"/>
          </w:tcPr>
          <w:p>
            <w:pPr>
              <w:spacing w:after="0" w:line="259" w:lineRule="auto"/>
            </w:pPr>
            <w:r>
              <w:rPr>
                <w:rFonts w:ascii="Aptos" w:hAnsi="Aptos"/>
                <w:color w:val="1E252B"/>
                <w:sz w:val="16"/>
              </w:rPr>
              <w:t>Cannot silently mutate protected desired state.</w:t>
            </w:r>
          </w:p>
        </w:tc>
      </w:tr>
      <w:tr>
        <w:trPr>
          <w:cantSplit/>
        </w:trPr>
        <w:tc>
          <w:tcPr>
            <w:tcW w:type="dxa" w:w="1500"/>
            <w:tcMar>
              <w:top w:w="100" w:type="dxa"/>
              <w:start w:w="130" w:type="dxa"/>
              <w:bottom w:w="100" w:type="dxa"/>
              <w:end w:w="130" w:type="dxa"/>
            </w:tcMar>
            <w:vAlign w:val="center"/>
          </w:tcPr>
          <w:p>
            <w:pPr>
              <w:spacing w:after="0" w:line="259" w:lineRule="auto"/>
            </w:pPr>
            <w:r>
              <w:rPr>
                <w:rFonts w:ascii="Aptos" w:hAnsi="Aptos"/>
                <w:color w:val="1E252B"/>
                <w:sz w:val="16"/>
              </w:rPr>
              <w:t>GitHub</w:t>
            </w:r>
          </w:p>
        </w:tc>
        <w:tc>
          <w:tcPr>
            <w:tcW w:type="dxa" w:w="4270"/>
            <w:tcMar>
              <w:top w:w="100" w:type="dxa"/>
              <w:start w:w="130" w:type="dxa"/>
              <w:bottom w:w="100" w:type="dxa"/>
              <w:end w:w="130" w:type="dxa"/>
            </w:tcMar>
            <w:vAlign w:val="center"/>
          </w:tcPr>
          <w:p>
            <w:pPr>
              <w:spacing w:after="0" w:line="259" w:lineRule="auto"/>
            </w:pPr>
            <w:r>
              <w:rPr>
                <w:rFonts w:ascii="Aptos" w:hAnsi="Aptos"/>
                <w:color w:val="1E252B"/>
                <w:sz w:val="16"/>
              </w:rPr>
              <w:t>Review, policy, release, promotion, durable decisions, workflow trace.</w:t>
            </w:r>
          </w:p>
        </w:tc>
        <w:tc>
          <w:tcPr>
            <w:tcW w:type="dxa" w:w="3590"/>
            <w:tcMar>
              <w:top w:w="100" w:type="dxa"/>
              <w:start w:w="130" w:type="dxa"/>
              <w:bottom w:w="100" w:type="dxa"/>
              <w:end w:w="130" w:type="dxa"/>
            </w:tcMar>
            <w:vAlign w:val="center"/>
          </w:tcPr>
          <w:p>
            <w:pPr>
              <w:spacing w:after="0" w:line="259" w:lineRule="auto"/>
            </w:pPr>
            <w:r>
              <w:rPr>
                <w:rFonts w:ascii="Aptos" w:hAnsi="Aptos"/>
                <w:color w:val="1E252B"/>
                <w:sz w:val="16"/>
              </w:rPr>
              <w:t>Not used as a secret vault or live telemetry database.</w:t>
            </w:r>
          </w:p>
        </w:tc>
      </w:tr>
      <w:tr>
        <w:trPr>
          <w:cantSplit/>
        </w:trPr>
        <w:tc>
          <w:tcPr>
            <w:tcW w:type="dxa" w:w="1500"/>
            <w:shd w:fill="F7F9FB"/>
            <w:tcMar>
              <w:top w:w="100" w:type="dxa"/>
              <w:start w:w="130" w:type="dxa"/>
              <w:bottom w:w="100" w:type="dxa"/>
              <w:end w:w="130" w:type="dxa"/>
            </w:tcMar>
            <w:vAlign w:val="center"/>
          </w:tcPr>
          <w:p>
            <w:pPr>
              <w:spacing w:after="0" w:line="259" w:lineRule="auto"/>
            </w:pPr>
            <w:r>
              <w:rPr>
                <w:rFonts w:ascii="Aptos" w:hAnsi="Aptos"/>
                <w:color w:val="1E252B"/>
                <w:sz w:val="16"/>
              </w:rPr>
              <w:t>CLI</w:t>
            </w:r>
          </w:p>
        </w:tc>
        <w:tc>
          <w:tcPr>
            <w:tcW w:type="dxa" w:w="4270"/>
            <w:shd w:fill="F7F9FB"/>
            <w:tcMar>
              <w:top w:w="100" w:type="dxa"/>
              <w:start w:w="130" w:type="dxa"/>
              <w:bottom w:w="100" w:type="dxa"/>
              <w:end w:w="130" w:type="dxa"/>
            </w:tcMar>
            <w:vAlign w:val="center"/>
          </w:tcPr>
          <w:p>
            <w:pPr>
              <w:spacing w:after="0" w:line="259" w:lineRule="auto"/>
            </w:pPr>
            <w:r>
              <w:rPr>
                <w:rFonts w:ascii="Aptos" w:hAnsi="Aptos"/>
                <w:color w:val="1E252B"/>
                <w:sz w:val="16"/>
              </w:rPr>
              <w:t>Exact inspection, controlled execution, repair, automation development.</w:t>
            </w:r>
          </w:p>
        </w:tc>
        <w:tc>
          <w:tcPr>
            <w:tcW w:type="dxa" w:w="3590"/>
            <w:shd w:fill="F7F9FB"/>
            <w:tcMar>
              <w:top w:w="100" w:type="dxa"/>
              <w:start w:w="130" w:type="dxa"/>
              <w:bottom w:w="100" w:type="dxa"/>
              <w:end w:w="130" w:type="dxa"/>
            </w:tcMar>
            <w:vAlign w:val="center"/>
          </w:tcPr>
          <w:p>
            <w:pPr>
              <w:spacing w:after="0" w:line="259" w:lineRule="auto"/>
            </w:pPr>
            <w:r>
              <w:rPr>
                <w:rFonts w:ascii="Aptos" w:hAnsi="Aptos"/>
                <w:color w:val="1E252B"/>
                <w:sz w:val="16"/>
              </w:rPr>
              <w:t>Normal commands still use action envelopes and evidence.</w:t>
            </w:r>
          </w:p>
        </w:tc>
      </w:tr>
      <w:tr>
        <w:trPr>
          <w:cantSplit/>
        </w:trPr>
        <w:tc>
          <w:tcPr>
            <w:tcW w:type="dxa" w:w="1500"/>
            <w:tcMar>
              <w:top w:w="100" w:type="dxa"/>
              <w:start w:w="130" w:type="dxa"/>
              <w:bottom w:w="100" w:type="dxa"/>
              <w:end w:w="130" w:type="dxa"/>
            </w:tcMar>
            <w:vAlign w:val="center"/>
          </w:tcPr>
          <w:p>
            <w:pPr>
              <w:spacing w:after="0" w:line="259" w:lineRule="auto"/>
            </w:pPr>
            <w:r>
              <w:rPr>
                <w:rFonts w:ascii="Aptos" w:hAnsi="Aptos"/>
                <w:color w:val="1E252B"/>
                <w:sz w:val="16"/>
              </w:rPr>
              <w:t>Break-glass</w:t>
            </w:r>
          </w:p>
        </w:tc>
        <w:tc>
          <w:tcPr>
            <w:tcW w:type="dxa" w:w="4270"/>
            <w:tcMar>
              <w:top w:w="100" w:type="dxa"/>
              <w:start w:w="130" w:type="dxa"/>
              <w:bottom w:w="100" w:type="dxa"/>
              <w:end w:w="130" w:type="dxa"/>
            </w:tcMar>
            <w:vAlign w:val="center"/>
          </w:tcPr>
          <w:p>
            <w:pPr>
              <w:spacing w:after="0" w:line="259" w:lineRule="auto"/>
            </w:pPr>
            <w:r>
              <w:rPr>
                <w:rFonts w:ascii="Aptos" w:hAnsi="Aptos"/>
                <w:color w:val="1E252B"/>
                <w:sz w:val="16"/>
              </w:rPr>
              <w:t>Recover access, revoke compromised identity, stop unsafe automation.</w:t>
            </w:r>
          </w:p>
        </w:tc>
        <w:tc>
          <w:tcPr>
            <w:tcW w:type="dxa" w:w="3590"/>
            <w:tcMar>
              <w:top w:w="100" w:type="dxa"/>
              <w:start w:w="130" w:type="dxa"/>
              <w:bottom w:w="100" w:type="dxa"/>
              <w:end w:w="130" w:type="dxa"/>
            </w:tcMar>
            <w:vAlign w:val="center"/>
          </w:tcPr>
          <w:p>
            <w:pPr>
              <w:spacing w:after="0" w:line="259" w:lineRule="auto"/>
            </w:pPr>
            <w:r>
              <w:rPr>
                <w:rFonts w:ascii="Aptos" w:hAnsi="Aptos"/>
                <w:color w:val="1E252B"/>
                <w:sz w:val="16"/>
              </w:rPr>
              <w:t>Narrow, time-bound, independently logged, tested, and never routine.</w:t>
            </w:r>
          </w:p>
        </w:tc>
      </w:tr>
    </w:tbl>
    <w:p>
      <w:pPr>
        <w:spacing w:after="40"/>
      </w:pPr>
    </w:p>
    <w:p>
      <w:pPr>
        <w:pStyle w:val="Heading2"/>
        <w:keepNext/>
      </w:pPr>
      <w:r>
        <w:t>9.1 Daily operating experience</w:t>
      </w:r>
    </w:p>
    <w:p>
      <w:pPr/>
      <w:r>
        <w:rPr>
          <w:rFonts w:ascii="Aptos" w:hAnsi="Aptos"/>
          <w:color w:val="1E252B"/>
        </w:rPr>
        <w:t>The normal experience is exception-driven. Vahid sees health, drift, upcoming material actions, failed validations, irreversible approval requests, recovery-readiness failures, and concise evidence summaries. Routine successful reconciliation should not demand attention, but it remains inspectable.</w:t>
      </w:r>
    </w:p>
    <w:p>
      <w:pPr>
        <w:pStyle w:val="Heading1"/>
        <w:keepNext/>
      </w:pPr>
      <w:r>
        <w:t>10. Availability and degraded modes</w:t>
      </w:r>
    </w:p>
    <w:tbl>
      <w:tblPr>
        <w:tblStyle w:val="TableGrid"/>
        <w:tblW w:type="dxa" w:w="9360"/>
        <w:tblLayout w:type="fixed"/>
        <w:tblLook w:firstColumn="1" w:firstRow="1" w:lastColumn="0" w:lastRow="0" w:noHBand="0" w:noVBand="1" w:val="04A0"/>
        <w:jc w:val="left"/>
        <w:tblInd w:w="130" w:type="dxa"/>
      </w:tblPr>
      <w:tblGrid>
        <w:gridCol w:w="1750"/>
        <w:gridCol w:w="4670"/>
        <w:gridCol w:w="2940"/>
      </w:tblGrid>
      <w:tr>
        <w:trPr>
          <w:tblHeader w:val="true"/>
          <w:cantSplit/>
        </w:trPr>
        <w:tc>
          <w:tcPr>
            <w:tcW w:type="dxa" w:w="1750"/>
            <w:tcMar>
              <w:top w:w="100" w:type="dxa"/>
              <w:start w:w="130" w:type="dxa"/>
              <w:bottom w:w="100" w:type="dxa"/>
              <w:end w:w="130" w:type="dxa"/>
            </w:tcMar>
            <w:vAlign w:val="center"/>
            <w:shd w:fill="14213D"/>
          </w:tcPr>
          <w:p>
            <w:pPr>
              <w:spacing w:after="0"/>
              <w:jc w:val="left"/>
            </w:pPr>
            <w:r>
              <w:rPr>
                <w:rFonts w:ascii="Aptos" w:hAnsi="Aptos"/>
                <w:b/>
                <w:color w:val="FFFFFF"/>
                <w:sz w:val="16"/>
              </w:rPr>
              <w:t>Failure</w:t>
            </w:r>
          </w:p>
        </w:tc>
        <w:tc>
          <w:tcPr>
            <w:tcW w:type="dxa" w:w="4670"/>
            <w:tcMar>
              <w:top w:w="100" w:type="dxa"/>
              <w:start w:w="130" w:type="dxa"/>
              <w:bottom w:w="100" w:type="dxa"/>
              <w:end w:w="130" w:type="dxa"/>
            </w:tcMar>
            <w:vAlign w:val="center"/>
            <w:shd w:fill="14213D"/>
          </w:tcPr>
          <w:p>
            <w:pPr>
              <w:spacing w:after="0"/>
              <w:jc w:val="left"/>
            </w:pPr>
            <w:r>
              <w:rPr>
                <w:rFonts w:ascii="Aptos" w:hAnsi="Aptos"/>
                <w:b/>
                <w:color w:val="FFFFFF"/>
                <w:sz w:val="16"/>
              </w:rPr>
              <w:t>Permitted behavior</w:t>
            </w:r>
          </w:p>
        </w:tc>
        <w:tc>
          <w:tcPr>
            <w:tcW w:type="dxa" w:w="2940"/>
            <w:tcMar>
              <w:top w:w="100" w:type="dxa"/>
              <w:start w:w="130" w:type="dxa"/>
              <w:bottom w:w="100" w:type="dxa"/>
              <w:end w:w="130" w:type="dxa"/>
            </w:tcMar>
            <w:vAlign w:val="center"/>
            <w:shd w:fill="14213D"/>
          </w:tcPr>
          <w:p>
            <w:pPr>
              <w:spacing w:after="0"/>
              <w:jc w:val="left"/>
            </w:pPr>
            <w:r>
              <w:rPr>
                <w:rFonts w:ascii="Aptos" w:hAnsi="Aptos"/>
                <w:b/>
                <w:color w:val="FFFFFF"/>
                <w:sz w:val="16"/>
              </w:rPr>
              <w:t>Prohibited behavior</w:t>
            </w:r>
          </w:p>
        </w:tc>
      </w:tr>
      <w:tr>
        <w:trPr>
          <w:cantSplit/>
        </w:trPr>
        <w:tc>
          <w:tcPr>
            <w:tcW w:type="dxa" w:w="1750"/>
            <w:tcMar>
              <w:top w:w="100" w:type="dxa"/>
              <w:start w:w="130" w:type="dxa"/>
              <w:bottom w:w="100" w:type="dxa"/>
              <w:end w:w="130" w:type="dxa"/>
            </w:tcMar>
            <w:vAlign w:val="center"/>
          </w:tcPr>
          <w:p>
            <w:pPr>
              <w:spacing w:after="0" w:line="259" w:lineRule="auto"/>
            </w:pPr>
            <w:r>
              <w:rPr>
                <w:rFonts w:ascii="Aptos" w:hAnsi="Aptos"/>
                <w:color w:val="1E252B"/>
                <w:sz w:val="15"/>
              </w:rPr>
              <w:t>Mac unavailable</w:t>
            </w:r>
          </w:p>
        </w:tc>
        <w:tc>
          <w:tcPr>
            <w:tcW w:type="dxa" w:w="4670"/>
            <w:tcMar>
              <w:top w:w="100" w:type="dxa"/>
              <w:start w:w="130" w:type="dxa"/>
              <w:bottom w:w="100" w:type="dxa"/>
              <w:end w:w="130" w:type="dxa"/>
            </w:tcMar>
            <w:vAlign w:val="center"/>
          </w:tcPr>
          <w:p>
            <w:pPr>
              <w:spacing w:after="0" w:line="259" w:lineRule="auto"/>
            </w:pPr>
            <w:r>
              <w:rPr>
                <w:rFonts w:ascii="Aptos" w:hAnsi="Aptos"/>
                <w:color w:val="1E252B"/>
                <w:sz w:val="15"/>
              </w:rPr>
              <w:t>Continue only previously authorized signed schedules, routine actions, monitoring, and predefined non-R4 recovery. Queue owner-only approvals.</w:t>
            </w:r>
          </w:p>
        </w:tc>
        <w:tc>
          <w:tcPr>
            <w:tcW w:type="dxa" w:w="2940"/>
            <w:tcMar>
              <w:top w:w="100" w:type="dxa"/>
              <w:start w:w="130" w:type="dxa"/>
              <w:bottom w:w="100" w:type="dxa"/>
              <w:end w:w="130" w:type="dxa"/>
            </w:tcMar>
            <w:vAlign w:val="center"/>
          </w:tcPr>
          <w:p>
            <w:pPr>
              <w:spacing w:after="0" w:line="259" w:lineRule="auto"/>
            </w:pPr>
            <w:r>
              <w:rPr>
                <w:rFonts w:ascii="Aptos" w:hAnsi="Aptos"/>
                <w:color w:val="1E252B"/>
                <w:sz w:val="15"/>
              </w:rPr>
              <w:t>No use of owner recovery root; no irreversible action.</w:t>
            </w:r>
          </w:p>
        </w:tc>
      </w:tr>
      <w:tr>
        <w:trPr>
          <w:cantSplit/>
        </w:trPr>
        <w:tc>
          <w:tcPr>
            <w:tcW w:type="dxa" w:w="1750"/>
            <w:shd w:fill="F7F9FB"/>
            <w:tcMar>
              <w:top w:w="100" w:type="dxa"/>
              <w:start w:w="130" w:type="dxa"/>
              <w:bottom w:w="100" w:type="dxa"/>
              <w:end w:w="130" w:type="dxa"/>
            </w:tcMar>
            <w:vAlign w:val="center"/>
          </w:tcPr>
          <w:p>
            <w:pPr>
              <w:spacing w:after="0" w:line="259" w:lineRule="auto"/>
            </w:pPr>
            <w:r>
              <w:rPr>
                <w:rFonts w:ascii="Aptos" w:hAnsi="Aptos"/>
                <w:color w:val="1E252B"/>
                <w:sz w:val="15"/>
              </w:rPr>
              <w:t>GitHub unavailable</w:t>
            </w:r>
          </w:p>
        </w:tc>
        <w:tc>
          <w:tcPr>
            <w:tcW w:type="dxa" w:w="4670"/>
            <w:shd w:fill="F7F9FB"/>
            <w:tcMar>
              <w:top w:w="100" w:type="dxa"/>
              <w:start w:w="130" w:type="dxa"/>
              <w:bottom w:w="100" w:type="dxa"/>
              <w:end w:w="130" w:type="dxa"/>
            </w:tcMar>
            <w:vAlign w:val="center"/>
          </w:tcPr>
          <w:p>
            <w:pPr>
              <w:spacing w:after="0" w:line="259" w:lineRule="auto"/>
            </w:pPr>
            <w:r>
              <w:rPr>
                <w:rFonts w:ascii="Aptos" w:hAnsi="Aptos"/>
                <w:color w:val="1E252B"/>
                <w:sz w:val="15"/>
              </w:rPr>
              <w:t>Continue only cached, signed, unexpired schedules/releases/playbooks; preserve receipts for later ingestion.</w:t>
            </w:r>
          </w:p>
        </w:tc>
        <w:tc>
          <w:tcPr>
            <w:tcW w:type="dxa" w:w="2940"/>
            <w:shd w:fill="F7F9FB"/>
            <w:tcMar>
              <w:top w:w="100" w:type="dxa"/>
              <w:start w:w="130" w:type="dxa"/>
              <w:bottom w:w="100" w:type="dxa"/>
              <w:end w:w="130" w:type="dxa"/>
            </w:tcMar>
            <w:vAlign w:val="center"/>
          </w:tcPr>
          <w:p>
            <w:pPr>
              <w:spacing w:after="0" w:line="259" w:lineRule="auto"/>
            </w:pPr>
            <w:r>
              <w:rPr>
                <w:rFonts w:ascii="Aptos" w:hAnsi="Aptos"/>
                <w:color w:val="1E252B"/>
                <w:sz w:val="15"/>
              </w:rPr>
              <w:t>No new desired state, policy, release, or promotion.</w:t>
            </w:r>
          </w:p>
        </w:tc>
      </w:tr>
      <w:tr>
        <w:trPr>
          <w:cantSplit/>
        </w:trPr>
        <w:tc>
          <w:tcPr>
            <w:tcW w:type="dxa" w:w="1750"/>
            <w:tcMar>
              <w:top w:w="100" w:type="dxa"/>
              <w:start w:w="130" w:type="dxa"/>
              <w:bottom w:w="100" w:type="dxa"/>
              <w:end w:w="130" w:type="dxa"/>
            </w:tcMar>
            <w:vAlign w:val="center"/>
          </w:tcPr>
          <w:p>
            <w:pPr>
              <w:spacing w:after="0" w:line="259" w:lineRule="auto"/>
            </w:pPr>
            <w:r>
              <w:rPr>
                <w:rFonts w:ascii="Aptos" w:hAnsi="Aptos"/>
                <w:color w:val="1E252B"/>
                <w:sz w:val="15"/>
              </w:rPr>
              <w:t>ASUS unavailable</w:t>
            </w:r>
          </w:p>
        </w:tc>
        <w:tc>
          <w:tcPr>
            <w:tcW w:type="dxa" w:w="4670"/>
            <w:tcMar>
              <w:top w:w="100" w:type="dxa"/>
              <w:start w:w="130" w:type="dxa"/>
              <w:bottom w:w="100" w:type="dxa"/>
              <w:end w:w="130" w:type="dxa"/>
            </w:tcMar>
            <w:vAlign w:val="center"/>
          </w:tcPr>
          <w:p>
            <w:pPr>
              <w:spacing w:after="0" w:line="259" w:lineRule="auto"/>
            </w:pPr>
            <w:r>
              <w:rPr>
                <w:rFonts w:ascii="Aptos" w:hAnsi="Aptos"/>
                <w:color w:val="1E252B"/>
                <w:sz w:val="15"/>
              </w:rPr>
              <w:t>VPS preserves edge, observation, cache, and recovery coordination; restore or relocate only policy-approved portable workloads after fencing is proven.</w:t>
            </w:r>
          </w:p>
        </w:tc>
        <w:tc>
          <w:tcPr>
            <w:tcW w:type="dxa" w:w="2940"/>
            <w:tcMar>
              <w:top w:w="100" w:type="dxa"/>
              <w:start w:w="130" w:type="dxa"/>
              <w:bottom w:w="100" w:type="dxa"/>
              <w:end w:w="130" w:type="dxa"/>
            </w:tcMar>
            <w:vAlign w:val="center"/>
          </w:tcPr>
          <w:p>
            <w:pPr>
              <w:spacing w:after="0" w:line="259" w:lineRule="auto"/>
            </w:pPr>
            <w:r>
              <w:rPr>
                <w:rFonts w:ascii="Aptos" w:hAnsi="Aptos"/>
                <w:color w:val="1E252B"/>
                <w:sz w:val="15"/>
              </w:rPr>
              <w:t>No takeover until fencing is proven.</w:t>
            </w:r>
          </w:p>
        </w:tc>
      </w:tr>
      <w:tr>
        <w:trPr>
          <w:cantSplit/>
        </w:trPr>
        <w:tc>
          <w:tcPr>
            <w:tcW w:type="dxa" w:w="1750"/>
            <w:shd w:fill="F7F9FB"/>
            <w:tcMar>
              <w:top w:w="100" w:type="dxa"/>
              <w:start w:w="130" w:type="dxa"/>
              <w:bottom w:w="100" w:type="dxa"/>
              <w:end w:w="130" w:type="dxa"/>
            </w:tcMar>
            <w:vAlign w:val="center"/>
          </w:tcPr>
          <w:p>
            <w:pPr>
              <w:spacing w:after="0" w:line="259" w:lineRule="auto"/>
            </w:pPr>
            <w:r>
              <w:rPr>
                <w:rFonts w:ascii="Aptos" w:hAnsi="Aptos"/>
                <w:color w:val="1E252B"/>
                <w:sz w:val="15"/>
              </w:rPr>
              <w:t>VPS unavailable</w:t>
            </w:r>
          </w:p>
        </w:tc>
        <w:tc>
          <w:tcPr>
            <w:tcW w:type="dxa" w:w="4670"/>
            <w:shd w:fill="F7F9FB"/>
            <w:tcMar>
              <w:top w:w="100" w:type="dxa"/>
              <w:start w:w="130" w:type="dxa"/>
              <w:bottom w:w="100" w:type="dxa"/>
              <w:end w:w="130" w:type="dxa"/>
            </w:tcMar>
            <w:vAlign w:val="center"/>
          </w:tcPr>
          <w:p>
            <w:pPr>
              <w:spacing w:after="0" w:line="259" w:lineRule="auto"/>
            </w:pPr>
            <w:r>
              <w:rPr>
                <w:rFonts w:ascii="Aptos" w:hAnsi="Aptos"/>
                <w:color w:val="1E252B"/>
                <w:sz w:val="15"/>
              </w:rPr>
              <w:t>ASUS continues internal operation; public edge/relay may degrade; surface incident through alternate channel when available.</w:t>
            </w:r>
          </w:p>
        </w:tc>
        <w:tc>
          <w:tcPr>
            <w:tcW w:type="dxa" w:w="2940"/>
            <w:shd w:fill="F7F9FB"/>
            <w:tcMar>
              <w:top w:w="100" w:type="dxa"/>
              <w:start w:w="130" w:type="dxa"/>
              <w:bottom w:w="100" w:type="dxa"/>
              <w:end w:w="130" w:type="dxa"/>
            </w:tcMar>
            <w:vAlign w:val="center"/>
          </w:tcPr>
          <w:p>
            <w:pPr>
              <w:spacing w:after="0" w:line="259" w:lineRule="auto"/>
            </w:pPr>
            <w:r>
              <w:rPr>
                <w:rFonts w:ascii="Aptos" w:hAnsi="Aptos"/>
                <w:color w:val="1E252B"/>
                <w:sz w:val="15"/>
              </w:rPr>
              <w:t>No silent public exposure through a substitute path.</w:t>
            </w:r>
          </w:p>
        </w:tc>
      </w:tr>
      <w:tr>
        <w:trPr>
          <w:cantSplit/>
        </w:trPr>
        <w:tc>
          <w:tcPr>
            <w:tcW w:type="dxa" w:w="1750"/>
            <w:tcMar>
              <w:top w:w="100" w:type="dxa"/>
              <w:start w:w="130" w:type="dxa"/>
              <w:bottom w:w="100" w:type="dxa"/>
              <w:end w:w="130" w:type="dxa"/>
            </w:tcMar>
            <w:vAlign w:val="center"/>
          </w:tcPr>
          <w:p>
            <w:pPr>
              <w:spacing w:after="0" w:line="259" w:lineRule="auto"/>
            </w:pPr>
            <w:r>
              <w:rPr>
                <w:rFonts w:ascii="Aptos" w:hAnsi="Aptos"/>
                <w:color w:val="1E252B"/>
                <w:sz w:val="15"/>
              </w:rPr>
              <w:t>PostgreSQL unavailable</w:t>
            </w:r>
          </w:p>
        </w:tc>
        <w:tc>
          <w:tcPr>
            <w:tcW w:type="dxa" w:w="4670"/>
            <w:tcMar>
              <w:top w:w="100" w:type="dxa"/>
              <w:start w:w="130" w:type="dxa"/>
              <w:bottom w:w="100" w:type="dxa"/>
              <w:end w:w="130" w:type="dxa"/>
            </w:tcMar>
            <w:vAlign w:val="center"/>
          </w:tcPr>
          <w:p>
            <w:pPr>
              <w:spacing w:after="0" w:line="259" w:lineRule="auto"/>
            </w:pPr>
            <w:r>
              <w:rPr>
                <w:rFonts w:ascii="Aptos" w:hAnsi="Aptos"/>
                <w:color w:val="1E252B"/>
                <w:sz w:val="15"/>
              </w:rPr>
              <w:t>Freeze state-dependent mutations; preserve running workloads; restore from backup or rebuild projections.</w:t>
            </w:r>
          </w:p>
        </w:tc>
        <w:tc>
          <w:tcPr>
            <w:tcW w:type="dxa" w:w="2940"/>
            <w:tcMar>
              <w:top w:w="100" w:type="dxa"/>
              <w:start w:w="130" w:type="dxa"/>
              <w:bottom w:w="100" w:type="dxa"/>
              <w:end w:w="130" w:type="dxa"/>
            </w:tcMar>
            <w:vAlign w:val="center"/>
          </w:tcPr>
          <w:p>
            <w:pPr>
              <w:spacing w:after="0" w:line="259" w:lineRule="auto"/>
            </w:pPr>
            <w:r>
              <w:rPr>
                <w:rFonts w:ascii="Aptos" w:hAnsi="Aptos"/>
                <w:color w:val="1E252B"/>
                <w:sz w:val="15"/>
              </w:rPr>
              <w:t>No inference of approval from incomplete state.</w:t>
            </w:r>
          </w:p>
        </w:tc>
      </w:tr>
      <w:tr>
        <w:trPr>
          <w:cantSplit/>
        </w:trPr>
        <w:tc>
          <w:tcPr>
            <w:tcW w:type="dxa" w:w="1750"/>
            <w:shd w:fill="F7F9FB"/>
            <w:tcMar>
              <w:top w:w="100" w:type="dxa"/>
              <w:start w:w="130" w:type="dxa"/>
              <w:bottom w:w="100" w:type="dxa"/>
              <w:end w:w="130" w:type="dxa"/>
            </w:tcMar>
            <w:vAlign w:val="center"/>
          </w:tcPr>
          <w:p>
            <w:pPr>
              <w:spacing w:after="0" w:line="259" w:lineRule="auto"/>
            </w:pPr>
            <w:r>
              <w:rPr>
                <w:rFonts w:ascii="Aptos" w:hAnsi="Aptos"/>
                <w:color w:val="1E252B"/>
                <w:sz w:val="15"/>
              </w:rPr>
              <w:t>NATS unavailable</w:t>
            </w:r>
          </w:p>
        </w:tc>
        <w:tc>
          <w:tcPr>
            <w:tcW w:type="dxa" w:w="4670"/>
            <w:shd w:fill="F7F9FB"/>
            <w:tcMar>
              <w:top w:w="100" w:type="dxa"/>
              <w:start w:w="130" w:type="dxa"/>
              <w:bottom w:w="100" w:type="dxa"/>
              <w:end w:w="130" w:type="dxa"/>
            </w:tcMar>
            <w:vAlign w:val="center"/>
          </w:tcPr>
          <w:p>
            <w:pPr>
              <w:spacing w:after="0" w:line="259" w:lineRule="auto"/>
            </w:pPr>
            <w:r>
              <w:rPr>
                <w:rFonts w:ascii="Aptos" w:hAnsi="Aptos"/>
                <w:color w:val="1E252B"/>
                <w:sz w:val="15"/>
              </w:rPr>
              <w:t>Pause queued work or use a defined local fallback; reconcile from desired state after recovery.</w:t>
            </w:r>
          </w:p>
        </w:tc>
        <w:tc>
          <w:tcPr>
            <w:tcW w:type="dxa" w:w="2940"/>
            <w:shd w:fill="F7F9FB"/>
            <w:tcMar>
              <w:top w:w="100" w:type="dxa"/>
              <w:start w:w="130" w:type="dxa"/>
              <w:bottom w:w="100" w:type="dxa"/>
              <w:end w:w="130" w:type="dxa"/>
            </w:tcMar>
            <w:vAlign w:val="center"/>
          </w:tcPr>
          <w:p>
            <w:pPr>
              <w:spacing w:after="0" w:line="259" w:lineRule="auto"/>
            </w:pPr>
            <w:r>
              <w:rPr>
                <w:rFonts w:ascii="Aptos" w:hAnsi="Aptos"/>
                <w:color w:val="1E252B"/>
                <w:sz w:val="15"/>
              </w:rPr>
              <w:t>No action loss concealed as success.</w:t>
            </w:r>
          </w:p>
        </w:tc>
      </w:tr>
      <w:tr>
        <w:trPr>
          <w:cantSplit/>
        </w:trPr>
        <w:tc>
          <w:tcPr>
            <w:tcW w:type="dxa" w:w="1750"/>
            <w:tcMar>
              <w:top w:w="100" w:type="dxa"/>
              <w:start w:w="130" w:type="dxa"/>
              <w:bottom w:w="100" w:type="dxa"/>
              <w:end w:w="130" w:type="dxa"/>
            </w:tcMar>
            <w:vAlign w:val="center"/>
          </w:tcPr>
          <w:p>
            <w:pPr>
              <w:spacing w:after="0" w:line="259" w:lineRule="auto"/>
            </w:pPr>
            <w:r>
              <w:rPr>
                <w:rFonts w:ascii="Aptos" w:hAnsi="Aptos"/>
                <w:color w:val="1E252B"/>
                <w:sz w:val="15"/>
              </w:rPr>
              <w:t>Evidence sink unavailable</w:t>
            </w:r>
          </w:p>
        </w:tc>
        <w:tc>
          <w:tcPr>
            <w:tcW w:type="dxa" w:w="4670"/>
            <w:tcMar>
              <w:top w:w="100" w:type="dxa"/>
              <w:start w:w="130" w:type="dxa"/>
              <w:bottom w:w="100" w:type="dxa"/>
              <w:end w:w="130" w:type="dxa"/>
            </w:tcMar>
            <w:vAlign w:val="center"/>
          </w:tcPr>
          <w:p>
            <w:pPr>
              <w:spacing w:after="0" w:line="259" w:lineRule="auto"/>
            </w:pPr>
            <w:r>
              <w:rPr>
                <w:rFonts w:ascii="Aptos" w:hAnsi="Aptos"/>
                <w:color w:val="1E252B"/>
                <w:sz w:val="15"/>
              </w:rPr>
              <w:t>Buffer signed receipts within strict capacity/TTL; stop material mutations before evidence guarantees are exhausted.</w:t>
            </w:r>
          </w:p>
        </w:tc>
        <w:tc>
          <w:tcPr>
            <w:tcW w:type="dxa" w:w="2940"/>
            <w:tcMar>
              <w:top w:w="100" w:type="dxa"/>
              <w:start w:w="130" w:type="dxa"/>
              <w:bottom w:w="100" w:type="dxa"/>
              <w:end w:w="130" w:type="dxa"/>
            </w:tcMar>
            <w:vAlign w:val="center"/>
          </w:tcPr>
          <w:p>
            <w:pPr>
              <w:spacing w:after="0" w:line="259" w:lineRule="auto"/>
            </w:pPr>
            <w:r>
              <w:rPr>
                <w:rFonts w:ascii="Aptos" w:hAnsi="Aptos"/>
                <w:color w:val="1E252B"/>
                <w:sz w:val="15"/>
              </w:rPr>
              <w:t>No indefinite evidence-free operation.</w:t>
            </w:r>
          </w:p>
        </w:tc>
      </w:tr>
    </w:tbl>
    <w:p>
      <w:pPr>
        <w:spacing w:after="40"/>
      </w:pPr>
    </w:p>
    <w:p>
      <w:pPr>
        <w:pStyle w:val="Heading2"/>
        <w:keepNext/>
      </w:pPr>
      <w:r>
        <w:t>10.1 GitHub outage continuity</w:t>
      </w:r>
    </w:p>
    <w:p>
      <w:pPr>
        <w:pStyle w:val="NyvoraList"/>
        <w:numPr>
          <w:ilvl w:val="0"/>
          <w:numId w:val="10"/>
        </w:numPr>
      </w:pPr>
      <w:r>
        <w:rPr>
          <w:rFonts w:ascii="Aptos" w:hAnsi="Aptos"/>
          <w:color w:val="1E252B"/>
        </w:rPr>
        <w:t xml:space="preserve"> Cached material is content-addressed, signed, policy-versioned, time-bounded, and environment-scoped.</w:t>
      </w:r>
    </w:p>
    <w:p>
      <w:pPr>
        <w:pStyle w:val="NyvoraList"/>
        <w:numPr>
          <w:ilvl w:val="0"/>
          <w:numId w:val="10"/>
        </w:numPr>
      </w:pPr>
      <w:r>
        <w:rPr>
          <w:rFonts w:ascii="Aptos" w:hAnsi="Aptos"/>
          <w:color w:val="1E252B"/>
        </w:rPr>
        <w:t xml:space="preserve"> The cache contains no mechanism for accepting new owner intent during the outage.</w:t>
      </w:r>
    </w:p>
    <w:p>
      <w:pPr>
        <w:pStyle w:val="NyvoraList"/>
        <w:numPr>
          <w:ilvl w:val="0"/>
          <w:numId w:val="10"/>
        </w:numPr>
      </w:pPr>
      <w:r>
        <w:rPr>
          <w:rFonts w:ascii="Aptos" w:hAnsi="Aptos"/>
          <w:color w:val="1E252B"/>
        </w:rPr>
        <w:t xml:space="preserve"> Routine schedules and recovery playbooks may execute if all local preconditions remain valid.</w:t>
      </w:r>
    </w:p>
    <w:p>
      <w:pPr>
        <w:pStyle w:val="NyvoraList"/>
        <w:numPr>
          <w:ilvl w:val="0"/>
          <w:numId w:val="10"/>
        </w:numPr>
      </w:pPr>
      <w:r>
        <w:rPr>
          <w:rFonts w:ascii="Aptos" w:hAnsi="Aptos"/>
          <w:color w:val="1E252B"/>
        </w:rPr>
        <w:t xml:space="preserve"> Evidence is queued durably and reconciled when GitHub returns.</w:t>
      </w:r>
    </w:p>
    <w:p>
      <w:pPr>
        <w:pStyle w:val="NyvoraList"/>
        <w:numPr>
          <w:ilvl w:val="0"/>
          <w:numId w:val="10"/>
        </w:numPr>
      </w:pPr>
      <w:r>
        <w:rPr>
          <w:rFonts w:ascii="Aptos" w:hAnsi="Aptos"/>
          <w:color w:val="1E252B"/>
        </w:rPr>
        <w:t xml:space="preserve"> A locally initiated safety stop or credential revocation is permitted even if it is not present in desired state, provided it is allowed by emergency policy and durably evidenced. It cannot be used to resume work or authorize a new action.</w:t>
      </w:r>
    </w:p>
    <w:p>
      <w:pPr>
        <w:pStyle w:val="Heading2"/>
        <w:keepNext/>
      </w:pPr>
      <w:r>
        <w:t>10.2 Access continuity</w:t>
      </w:r>
    </w:p>
    <w:p>
      <w:pPr/>
      <w:r>
        <w:rPr>
          <w:rFonts w:ascii="Aptos" w:hAnsi="Aptos"/>
          <w:color w:val="1E252B"/>
        </w:rPr>
        <w:t>Location independence requires two conceptually independent administration paths: the normal private overlay/relay and a tested out-of-band recovery mechanism such as a provider console or equivalent host recovery channel. The architecture does not require both paths to provide identical convenience.</w:t>
      </w:r>
    </w:p>
    <w:p>
      <w:pPr>
        <w:pStyle w:val="Heading1"/>
        <w:keepNext/>
      </w:pPr>
      <w:r>
        <w:t>11. Recovery and continuity objectives</w:t>
      </w:r>
    </w:p>
    <w:p>
      <w:pPr/>
      <w:r>
        <w:rPr>
          <w:rFonts w:ascii="Aptos" w:hAnsi="Aptos"/>
          <w:color w:val="1E252B"/>
        </w:rPr>
        <w:t>The following are initial design targets, not proven service levels. Operational qualification must validate or revise them.</w:t>
      </w:r>
    </w:p>
    <w:tbl>
      <w:tblPr>
        <w:tblStyle w:val="TableGrid"/>
        <w:tblW w:type="dxa" w:w="9360"/>
        <w:tblLayout w:type="fixed"/>
        <w:tblLook w:firstColumn="1" w:firstRow="1" w:lastColumn="0" w:lastRow="0" w:noHBand="0" w:noVBand="1" w:val="04A0"/>
        <w:jc w:val="left"/>
        <w:tblInd w:w="130" w:type="dxa"/>
      </w:tblPr>
      <w:tblGrid>
        <w:gridCol w:w="1850"/>
        <w:gridCol w:w="3880"/>
        <w:gridCol w:w="1800"/>
        <w:gridCol w:w="1830"/>
      </w:tblGrid>
      <w:tr>
        <w:trPr>
          <w:tblHeader w:val="true"/>
          <w:cantSplit/>
        </w:trPr>
        <w:tc>
          <w:tcPr>
            <w:tcW w:type="dxa" w:w="1850"/>
            <w:tcMar>
              <w:top w:w="100" w:type="dxa"/>
              <w:start w:w="130" w:type="dxa"/>
              <w:bottom w:w="100" w:type="dxa"/>
              <w:end w:w="130" w:type="dxa"/>
            </w:tcMar>
            <w:vAlign w:val="center"/>
            <w:shd w:fill="14213D"/>
          </w:tcPr>
          <w:p>
            <w:pPr>
              <w:spacing w:after="0"/>
              <w:jc w:val="left"/>
            </w:pPr>
            <w:r>
              <w:rPr>
                <w:rFonts w:ascii="Aptos" w:hAnsi="Aptos"/>
                <w:b/>
                <w:color w:val="FFFFFF"/>
                <w:sz w:val="16"/>
              </w:rPr>
              <w:t>Tier</w:t>
            </w:r>
          </w:p>
        </w:tc>
        <w:tc>
          <w:tcPr>
            <w:tcW w:type="dxa" w:w="3880"/>
            <w:tcMar>
              <w:top w:w="100" w:type="dxa"/>
              <w:start w:w="130" w:type="dxa"/>
              <w:bottom w:w="100" w:type="dxa"/>
              <w:end w:w="130" w:type="dxa"/>
            </w:tcMar>
            <w:vAlign w:val="center"/>
            <w:shd w:fill="14213D"/>
          </w:tcPr>
          <w:p>
            <w:pPr>
              <w:spacing w:after="0"/>
              <w:jc w:val="left"/>
            </w:pPr>
            <w:r>
              <w:rPr>
                <w:rFonts w:ascii="Aptos" w:hAnsi="Aptos"/>
                <w:b/>
                <w:color w:val="FFFFFF"/>
                <w:sz w:val="16"/>
              </w:rPr>
              <w:t>Contents</w:t>
            </w:r>
          </w:p>
        </w:tc>
        <w:tc>
          <w:tcPr>
            <w:tcW w:type="dxa" w:w="1800"/>
            <w:tcMar>
              <w:top w:w="100" w:type="dxa"/>
              <w:start w:w="130" w:type="dxa"/>
              <w:bottom w:w="100" w:type="dxa"/>
              <w:end w:w="130" w:type="dxa"/>
            </w:tcMar>
            <w:vAlign w:val="center"/>
            <w:shd w:fill="14213D"/>
          </w:tcPr>
          <w:p>
            <w:pPr>
              <w:spacing w:after="0"/>
              <w:jc w:val="left"/>
            </w:pPr>
            <w:r>
              <w:rPr>
                <w:rFonts w:ascii="Aptos" w:hAnsi="Aptos"/>
                <w:b/>
                <w:color w:val="FFFFFF"/>
                <w:sz w:val="16"/>
              </w:rPr>
              <w:t>Initial RPO</w:t>
            </w:r>
          </w:p>
        </w:tc>
        <w:tc>
          <w:tcPr>
            <w:tcW w:type="dxa" w:w="1830"/>
            <w:tcMar>
              <w:top w:w="100" w:type="dxa"/>
              <w:start w:w="130" w:type="dxa"/>
              <w:bottom w:w="100" w:type="dxa"/>
              <w:end w:w="130" w:type="dxa"/>
            </w:tcMar>
            <w:vAlign w:val="center"/>
            <w:shd w:fill="14213D"/>
          </w:tcPr>
          <w:p>
            <w:pPr>
              <w:spacing w:after="0"/>
              <w:jc w:val="left"/>
            </w:pPr>
            <w:r>
              <w:rPr>
                <w:rFonts w:ascii="Aptos" w:hAnsi="Aptos"/>
                <w:b/>
                <w:color w:val="FFFFFF"/>
                <w:sz w:val="16"/>
              </w:rPr>
              <w:t>Initial RTO</w:t>
            </w:r>
          </w:p>
        </w:tc>
      </w:tr>
      <w:tr>
        <w:trPr>
          <w:cantSplit/>
        </w:trPr>
        <w:tc>
          <w:tcPr>
            <w:tcW w:type="dxa" w:w="1850"/>
            <w:tcMar>
              <w:top w:w="100" w:type="dxa"/>
              <w:start w:w="130" w:type="dxa"/>
              <w:bottom w:w="100" w:type="dxa"/>
              <w:end w:w="130" w:type="dxa"/>
            </w:tcMar>
            <w:vAlign w:val="center"/>
          </w:tcPr>
          <w:p>
            <w:pPr>
              <w:spacing w:after="0" w:line="259" w:lineRule="auto"/>
            </w:pPr>
            <w:r>
              <w:rPr>
                <w:rFonts w:ascii="Aptos" w:hAnsi="Aptos"/>
                <w:color w:val="1E252B"/>
                <w:sz w:val="15"/>
              </w:rPr>
              <w:t>Tier A · Authority and evidence</w:t>
            </w:r>
          </w:p>
        </w:tc>
        <w:tc>
          <w:tcPr>
            <w:tcW w:type="dxa" w:w="3880"/>
            <w:tcMar>
              <w:top w:w="100" w:type="dxa"/>
              <w:start w:w="130" w:type="dxa"/>
              <w:bottom w:w="100" w:type="dxa"/>
              <w:end w:w="130" w:type="dxa"/>
            </w:tcMar>
            <w:vAlign w:val="center"/>
          </w:tcPr>
          <w:p>
            <w:pPr>
              <w:spacing w:after="0" w:line="259" w:lineRule="auto"/>
            </w:pPr>
            <w:r>
              <w:rPr>
                <w:rFonts w:ascii="Aptos" w:hAnsi="Aptos"/>
                <w:color w:val="1E252B"/>
                <w:sz w:val="15"/>
              </w:rPr>
              <w:t>Baseline, policy, release metadata, identity recovery procedure, signed receipts.</w:t>
            </w:r>
          </w:p>
        </w:tc>
        <w:tc>
          <w:tcPr>
            <w:tcW w:type="dxa" w:w="1800"/>
            <w:tcMar>
              <w:top w:w="100" w:type="dxa"/>
              <w:start w:w="130" w:type="dxa"/>
              <w:bottom w:w="100" w:type="dxa"/>
              <w:end w:w="130" w:type="dxa"/>
            </w:tcMar>
            <w:vAlign w:val="center"/>
          </w:tcPr>
          <w:p>
            <w:pPr>
              <w:spacing w:after="0" w:line="259" w:lineRule="auto"/>
            </w:pPr>
            <w:r>
              <w:rPr>
                <w:rFonts w:ascii="Aptos" w:hAnsi="Aptos"/>
                <w:color w:val="1E252B"/>
                <w:sz w:val="15"/>
              </w:rPr>
              <w:t>Committed Git state: zero loss; other critical evidence: ≤15 min target.</w:t>
            </w:r>
          </w:p>
        </w:tc>
        <w:tc>
          <w:tcPr>
            <w:tcW w:type="dxa" w:w="1830"/>
            <w:tcMar>
              <w:top w:w="100" w:type="dxa"/>
              <w:start w:w="130" w:type="dxa"/>
              <w:bottom w:w="100" w:type="dxa"/>
              <w:end w:w="130" w:type="dxa"/>
            </w:tcMar>
            <w:vAlign w:val="center"/>
          </w:tcPr>
          <w:p>
            <w:pPr>
              <w:spacing w:after="0" w:line="259" w:lineRule="auto"/>
            </w:pPr>
            <w:r>
              <w:rPr>
                <w:rFonts w:ascii="Aptos" w:hAnsi="Aptos"/>
                <w:color w:val="1E252B"/>
                <w:sz w:val="15"/>
              </w:rPr>
              <w:t>≤4 h owner-assisted restoration.</w:t>
            </w:r>
          </w:p>
        </w:tc>
      </w:tr>
      <w:tr>
        <w:trPr>
          <w:cantSplit/>
        </w:trPr>
        <w:tc>
          <w:tcPr>
            <w:tcW w:type="dxa" w:w="1850"/>
            <w:shd w:fill="F7F9FB"/>
            <w:tcMar>
              <w:top w:w="100" w:type="dxa"/>
              <w:start w:w="130" w:type="dxa"/>
              <w:bottom w:w="100" w:type="dxa"/>
              <w:end w:w="130" w:type="dxa"/>
            </w:tcMar>
            <w:vAlign w:val="center"/>
          </w:tcPr>
          <w:p>
            <w:pPr>
              <w:spacing w:after="0" w:line="259" w:lineRule="auto"/>
            </w:pPr>
            <w:r>
              <w:rPr>
                <w:rFonts w:ascii="Aptos" w:hAnsi="Aptos"/>
                <w:color w:val="1E252B"/>
                <w:sz w:val="15"/>
              </w:rPr>
              <w:t>Tier B · Control services</w:t>
            </w:r>
          </w:p>
        </w:tc>
        <w:tc>
          <w:tcPr>
            <w:tcW w:type="dxa" w:w="3880"/>
            <w:shd w:fill="F7F9FB"/>
            <w:tcMar>
              <w:top w:w="100" w:type="dxa"/>
              <w:start w:w="130" w:type="dxa"/>
              <w:bottom w:w="100" w:type="dxa"/>
              <w:end w:w="130" w:type="dxa"/>
            </w:tcMar>
            <w:vAlign w:val="center"/>
          </w:tcPr>
          <w:p>
            <w:pPr>
              <w:spacing w:after="0" w:line="259" w:lineRule="auto"/>
            </w:pPr>
            <w:r>
              <w:rPr>
                <w:rFonts w:ascii="Aptos" w:hAnsi="Aptos"/>
                <w:color w:val="1E252B"/>
                <w:sz w:val="15"/>
              </w:rPr>
              <w:t>Reconciler, inventory, leases, scheduler, secrets mediation, console backend.</w:t>
            </w:r>
          </w:p>
        </w:tc>
        <w:tc>
          <w:tcPr>
            <w:tcW w:type="dxa" w:w="1800"/>
            <w:shd w:fill="F7F9FB"/>
            <w:tcMar>
              <w:top w:w="100" w:type="dxa"/>
              <w:start w:w="130" w:type="dxa"/>
              <w:bottom w:w="100" w:type="dxa"/>
              <w:end w:w="130" w:type="dxa"/>
            </w:tcMar>
            <w:vAlign w:val="center"/>
          </w:tcPr>
          <w:p>
            <w:pPr>
              <w:spacing w:after="0" w:line="259" w:lineRule="auto"/>
            </w:pPr>
            <w:r>
              <w:rPr>
                <w:rFonts w:ascii="Aptos" w:hAnsi="Aptos"/>
                <w:color w:val="1E252B"/>
                <w:sz w:val="15"/>
              </w:rPr>
              <w:t>≤1 h.</w:t>
            </w:r>
          </w:p>
        </w:tc>
        <w:tc>
          <w:tcPr>
            <w:tcW w:type="dxa" w:w="1830"/>
            <w:shd w:fill="F7F9FB"/>
            <w:tcMar>
              <w:top w:w="100" w:type="dxa"/>
              <w:start w:w="130" w:type="dxa"/>
              <w:bottom w:w="100" w:type="dxa"/>
              <w:end w:w="130" w:type="dxa"/>
            </w:tcMar>
            <w:vAlign w:val="center"/>
          </w:tcPr>
          <w:p>
            <w:pPr>
              <w:spacing w:after="0" w:line="259" w:lineRule="auto"/>
            </w:pPr>
            <w:r>
              <w:rPr>
                <w:rFonts w:ascii="Aptos" w:hAnsi="Aptos"/>
                <w:color w:val="1E252B"/>
                <w:sz w:val="15"/>
              </w:rPr>
              <w:t>≤2 h.</w:t>
            </w:r>
          </w:p>
        </w:tc>
      </w:tr>
      <w:tr>
        <w:trPr>
          <w:cantSplit/>
        </w:trPr>
        <w:tc>
          <w:tcPr>
            <w:tcW w:type="dxa" w:w="1850"/>
            <w:tcMar>
              <w:top w:w="100" w:type="dxa"/>
              <w:start w:w="130" w:type="dxa"/>
              <w:bottom w:w="100" w:type="dxa"/>
              <w:end w:w="130" w:type="dxa"/>
            </w:tcMar>
            <w:vAlign w:val="center"/>
          </w:tcPr>
          <w:p>
            <w:pPr>
              <w:spacing w:after="0" w:line="259" w:lineRule="auto"/>
            </w:pPr>
            <w:r>
              <w:rPr>
                <w:rFonts w:ascii="Aptos" w:hAnsi="Aptos"/>
                <w:color w:val="1E252B"/>
                <w:sz w:val="15"/>
              </w:rPr>
              <w:t>Tier C · Operational workloads</w:t>
            </w:r>
          </w:p>
        </w:tc>
        <w:tc>
          <w:tcPr>
            <w:tcW w:type="dxa" w:w="3880"/>
            <w:tcMar>
              <w:top w:w="100" w:type="dxa"/>
              <w:start w:w="130" w:type="dxa"/>
              <w:bottom w:w="100" w:type="dxa"/>
              <w:end w:w="130" w:type="dxa"/>
            </w:tcMar>
            <w:vAlign w:val="center"/>
          </w:tcPr>
          <w:p>
            <w:pPr>
              <w:spacing w:after="0" w:line="259" w:lineRule="auto"/>
            </w:pPr>
            <w:r>
              <w:rPr>
                <w:rFonts w:ascii="Aptos" w:hAnsi="Aptos"/>
                <w:color w:val="1E252B"/>
                <w:sz w:val="15"/>
              </w:rPr>
              <w:t>Application service and workload-specific state.</w:t>
            </w:r>
          </w:p>
        </w:tc>
        <w:tc>
          <w:tcPr>
            <w:tcW w:type="dxa" w:w="1800"/>
            <w:tcMar>
              <w:top w:w="100" w:type="dxa"/>
              <w:start w:w="130" w:type="dxa"/>
              <w:bottom w:w="100" w:type="dxa"/>
              <w:end w:w="130" w:type="dxa"/>
            </w:tcMar>
            <w:vAlign w:val="center"/>
          </w:tcPr>
          <w:p>
            <w:pPr>
              <w:spacing w:after="0" w:line="259" w:lineRule="auto"/>
            </w:pPr>
            <w:r>
              <w:rPr>
                <w:rFonts w:ascii="Aptos" w:hAnsi="Aptos"/>
                <w:color w:val="1E252B"/>
                <w:sz w:val="15"/>
              </w:rPr>
              <w:t>Declared per workload; default ≤24 h until tightened.</w:t>
            </w:r>
          </w:p>
        </w:tc>
        <w:tc>
          <w:tcPr>
            <w:tcW w:type="dxa" w:w="1830"/>
            <w:tcMar>
              <w:top w:w="100" w:type="dxa"/>
              <w:start w:w="130" w:type="dxa"/>
              <w:bottom w:w="100" w:type="dxa"/>
              <w:end w:w="130" w:type="dxa"/>
            </w:tcMar>
            <w:vAlign w:val="center"/>
          </w:tcPr>
          <w:p>
            <w:pPr>
              <w:spacing w:after="0" w:line="259" w:lineRule="auto"/>
            </w:pPr>
            <w:r>
              <w:rPr>
                <w:rFonts w:ascii="Aptos" w:hAnsi="Aptos"/>
                <w:color w:val="1E252B"/>
                <w:sz w:val="15"/>
              </w:rPr>
              <w:t>Default ≤4 h.</w:t>
            </w:r>
          </w:p>
        </w:tc>
      </w:tr>
      <w:tr>
        <w:trPr>
          <w:cantSplit/>
        </w:trPr>
        <w:tc>
          <w:tcPr>
            <w:tcW w:type="dxa" w:w="1850"/>
            <w:shd w:fill="F7F9FB"/>
            <w:tcMar>
              <w:top w:w="100" w:type="dxa"/>
              <w:start w:w="130" w:type="dxa"/>
              <w:bottom w:w="100" w:type="dxa"/>
              <w:end w:w="130" w:type="dxa"/>
            </w:tcMar>
            <w:vAlign w:val="center"/>
          </w:tcPr>
          <w:p>
            <w:pPr>
              <w:spacing w:after="0" w:line="259" w:lineRule="auto"/>
            </w:pPr>
            <w:r>
              <w:rPr>
                <w:rFonts w:ascii="Aptos" w:hAnsi="Aptos"/>
                <w:color w:val="1E252B"/>
                <w:sz w:val="15"/>
              </w:rPr>
              <w:t>Tier D · Development/testing</w:t>
            </w:r>
          </w:p>
        </w:tc>
        <w:tc>
          <w:tcPr>
            <w:tcW w:type="dxa" w:w="3880"/>
            <w:shd w:fill="F7F9FB"/>
            <w:tcMar>
              <w:top w:w="100" w:type="dxa"/>
              <w:start w:w="130" w:type="dxa"/>
              <w:bottom w:w="100" w:type="dxa"/>
              <w:end w:w="130" w:type="dxa"/>
            </w:tcMar>
            <w:vAlign w:val="center"/>
          </w:tcPr>
          <w:p>
            <w:pPr>
              <w:spacing w:after="0" w:line="259" w:lineRule="auto"/>
            </w:pPr>
            <w:r>
              <w:rPr>
                <w:rFonts w:ascii="Aptos" w:hAnsi="Aptos"/>
                <w:color w:val="1E252B"/>
                <w:sz w:val="15"/>
              </w:rPr>
              <w:t>Disposable environments and reproducible test state.</w:t>
            </w:r>
          </w:p>
        </w:tc>
        <w:tc>
          <w:tcPr>
            <w:tcW w:type="dxa" w:w="1800"/>
            <w:shd w:fill="F7F9FB"/>
            <w:tcMar>
              <w:top w:w="100" w:type="dxa"/>
              <w:start w:w="130" w:type="dxa"/>
              <w:bottom w:w="100" w:type="dxa"/>
              <w:end w:w="130" w:type="dxa"/>
            </w:tcMar>
            <w:vAlign w:val="center"/>
          </w:tcPr>
          <w:p>
            <w:pPr>
              <w:spacing w:after="0" w:line="259" w:lineRule="auto"/>
            </w:pPr>
            <w:r>
              <w:rPr>
                <w:rFonts w:ascii="Aptos" w:hAnsi="Aptos"/>
                <w:color w:val="1E252B"/>
                <w:sz w:val="15"/>
              </w:rPr>
              <w:t>No guarantee unless declared.</w:t>
            </w:r>
          </w:p>
        </w:tc>
        <w:tc>
          <w:tcPr>
            <w:tcW w:type="dxa" w:w="1830"/>
            <w:shd w:fill="F7F9FB"/>
            <w:tcMar>
              <w:top w:w="100" w:type="dxa"/>
              <w:start w:w="130" w:type="dxa"/>
              <w:bottom w:w="100" w:type="dxa"/>
              <w:end w:w="130" w:type="dxa"/>
            </w:tcMar>
            <w:vAlign w:val="center"/>
          </w:tcPr>
          <w:p>
            <w:pPr>
              <w:spacing w:after="0" w:line="259" w:lineRule="auto"/>
            </w:pPr>
            <w:r>
              <w:rPr>
                <w:rFonts w:ascii="Aptos" w:hAnsi="Aptos"/>
                <w:color w:val="1E252B"/>
                <w:sz w:val="15"/>
              </w:rPr>
              <w:t>Rebuild within one working day.</w:t>
            </w:r>
          </w:p>
        </w:tc>
      </w:tr>
    </w:tbl>
    <w:p>
      <w:pPr>
        <w:spacing w:after="40"/>
      </w:pPr>
    </w:p>
    <w:p>
      <w:pPr>
        <w:pStyle w:val="Heading2"/>
        <w:keepNext/>
      </w:pPr>
      <w:r>
        <w:t>11.1 Recovery requirements</w:t>
      </w:r>
    </w:p>
    <w:p>
      <w:pPr>
        <w:pStyle w:val="NyvoraList"/>
        <w:numPr>
          <w:ilvl w:val="0"/>
          <w:numId w:val="10"/>
        </w:numPr>
      </w:pPr>
      <w:r>
        <w:rPr>
          <w:rFonts w:ascii="Aptos" w:hAnsi="Aptos"/>
          <w:color w:val="1E252B"/>
        </w:rPr>
        <w:t xml:space="preserve"> Backups are encrypted, versioned, and stored outside the failure domain of the source host.</w:t>
      </w:r>
    </w:p>
    <w:p>
      <w:pPr>
        <w:pStyle w:val="NyvoraList"/>
        <w:numPr>
          <w:ilvl w:val="0"/>
          <w:numId w:val="10"/>
        </w:numPr>
      </w:pPr>
      <w:r>
        <w:rPr>
          <w:rFonts w:ascii="Aptos" w:hAnsi="Aptos"/>
          <w:color w:val="1E252B"/>
        </w:rPr>
        <w:t xml:space="preserve"> Recovery procedures identify authority material separately from runtime data.</w:t>
      </w:r>
    </w:p>
    <w:p>
      <w:pPr>
        <w:pStyle w:val="NyvoraList"/>
        <w:numPr>
          <w:ilvl w:val="0"/>
          <w:numId w:val="10"/>
        </w:numPr>
      </w:pPr>
      <w:r>
        <w:rPr>
          <w:rFonts w:ascii="Aptos" w:hAnsi="Aptos"/>
          <w:color w:val="1E252B"/>
        </w:rPr>
        <w:t xml:space="preserve"> Restore verification is scheduled and evidenced; backup success alone is insufficient.</w:t>
      </w:r>
    </w:p>
    <w:p>
      <w:pPr>
        <w:pStyle w:val="NyvoraList"/>
        <w:numPr>
          <w:ilvl w:val="0"/>
          <w:numId w:val="10"/>
        </w:numPr>
      </w:pPr>
      <w:r>
        <w:rPr>
          <w:rFonts w:ascii="Aptos" w:hAnsi="Aptos"/>
          <w:color w:val="1E252B"/>
        </w:rPr>
        <w:t xml:space="preserve"> Break-glass credentials have an owner-readable recovery procedure and a revocation procedure.</w:t>
      </w:r>
    </w:p>
    <w:p>
      <w:pPr>
        <w:pStyle w:val="NyvoraList"/>
        <w:numPr>
          <w:ilvl w:val="0"/>
          <w:numId w:val="10"/>
        </w:numPr>
      </w:pPr>
      <w:r>
        <w:rPr>
          <w:rFonts w:ascii="Aptos" w:hAnsi="Aptos"/>
          <w:color w:val="1E252B"/>
        </w:rPr>
        <w:t xml:space="preserve"> Environment rebuilds start from signed desired state and pinned artifacts, not ad hoc host memory.</w:t>
      </w:r>
    </w:p>
    <w:p>
      <w:pPr>
        <w:pStyle w:val="NyvoraList"/>
        <w:numPr>
          <w:ilvl w:val="0"/>
          <w:numId w:val="10"/>
        </w:numPr>
      </w:pPr>
      <w:r>
        <w:rPr>
          <w:rFonts w:ascii="Aptos" w:hAnsi="Aptos"/>
          <w:color w:val="1E252B"/>
        </w:rPr>
        <w:t xml:space="preserve"> Recovery drills must include Mac absence, GitHub outage, ASUS loss, VPS loss, and failed rollback.</w:t>
      </w:r>
    </w:p>
    <w:p>
      <w:pPr>
        <w:pStyle w:val="Heading1"/>
        <w:keepNext/>
      </w:pPr>
      <w:r>
        <w:t>12. Evidence, auditability, and observability</w:t>
      </w:r>
    </w:p>
    <w:p>
      <w:pPr>
        <w:pStyle w:val="Heading2"/>
        <w:keepNext/>
      </w:pPr>
      <w:r>
        <w:t>12.1 Evidence standard</w:t>
      </w:r>
    </w:p>
    <w:p>
      <w:pPr/>
      <w:r>
        <w:rPr>
          <w:rFonts w:ascii="Aptos" w:hAnsi="Aptos"/>
          <w:color w:val="1E252B"/>
        </w:rPr>
        <w:t>Critical autonomous actions produce structured, reproducible, tamper-resistant evidence. The evidence chain explains what was intended, why it was authorized, what was executed, what changed, whether validation passed, whether rollback occurred, and where the final state was observed.</w:t>
      </w:r>
    </w:p>
    <w:tbl>
      <w:tblPr>
        <w:tblStyle w:val="TableGrid"/>
        <w:tblW w:type="dxa" w:w="9360"/>
        <w:tblLayout w:type="fixed"/>
        <w:tblLook w:firstColumn="1" w:firstRow="1" w:lastColumn="0" w:lastRow="0" w:noHBand="0" w:noVBand="1" w:val="04A0"/>
        <w:jc w:val="left"/>
        <w:tblInd w:w="130" w:type="dxa"/>
      </w:tblPr>
      <w:tblGrid>
        <w:gridCol w:w="1850"/>
        <w:gridCol w:w="7510"/>
      </w:tblGrid>
      <w:tr>
        <w:trPr>
          <w:tblHeader w:val="true"/>
          <w:cantSplit/>
        </w:trPr>
        <w:tc>
          <w:tcPr>
            <w:tcW w:type="dxa" w:w="1850"/>
            <w:tcMar>
              <w:top w:w="100" w:type="dxa"/>
              <w:start w:w="130" w:type="dxa"/>
              <w:bottom w:w="100" w:type="dxa"/>
              <w:end w:w="130" w:type="dxa"/>
            </w:tcMar>
            <w:vAlign w:val="center"/>
            <w:shd w:fill="14213D"/>
          </w:tcPr>
          <w:p>
            <w:pPr>
              <w:spacing w:after="0"/>
              <w:jc w:val="left"/>
            </w:pPr>
            <w:r>
              <w:rPr>
                <w:rFonts w:ascii="Aptos" w:hAnsi="Aptos"/>
                <w:b/>
                <w:color w:val="FFFFFF"/>
                <w:sz w:val="16"/>
              </w:rPr>
              <w:t>Evidence group</w:t>
            </w:r>
          </w:p>
        </w:tc>
        <w:tc>
          <w:tcPr>
            <w:tcW w:type="dxa" w:w="7510"/>
            <w:tcMar>
              <w:top w:w="100" w:type="dxa"/>
              <w:start w:w="130" w:type="dxa"/>
              <w:bottom w:w="100" w:type="dxa"/>
              <w:end w:w="130" w:type="dxa"/>
            </w:tcMar>
            <w:vAlign w:val="center"/>
            <w:shd w:fill="14213D"/>
          </w:tcPr>
          <w:p>
            <w:pPr>
              <w:spacing w:after="0"/>
              <w:jc w:val="left"/>
            </w:pPr>
            <w:r>
              <w:rPr>
                <w:rFonts w:ascii="Aptos" w:hAnsi="Aptos"/>
                <w:b/>
                <w:color w:val="FFFFFF"/>
                <w:sz w:val="16"/>
              </w:rPr>
              <w:t>Minimum record</w:t>
            </w:r>
          </w:p>
        </w:tc>
      </w:tr>
      <w:tr>
        <w:trPr>
          <w:cantSplit/>
        </w:trPr>
        <w:tc>
          <w:tcPr>
            <w:tcW w:type="dxa" w:w="1850"/>
            <w:tcMar>
              <w:top w:w="100" w:type="dxa"/>
              <w:start w:w="130" w:type="dxa"/>
              <w:bottom w:w="100" w:type="dxa"/>
              <w:end w:w="130" w:type="dxa"/>
            </w:tcMar>
            <w:vAlign w:val="center"/>
          </w:tcPr>
          <w:p>
            <w:pPr>
              <w:spacing w:after="0" w:line="259" w:lineRule="auto"/>
            </w:pPr>
            <w:r>
              <w:rPr>
                <w:rFonts w:ascii="Aptos" w:hAnsi="Aptos"/>
                <w:color w:val="1E252B"/>
                <w:sz w:val="17"/>
              </w:rPr>
              <w:t>Intent</w:t>
            </w:r>
          </w:p>
        </w:tc>
        <w:tc>
          <w:tcPr>
            <w:tcW w:type="dxa" w:w="7510"/>
            <w:tcMar>
              <w:top w:w="100" w:type="dxa"/>
              <w:start w:w="130" w:type="dxa"/>
              <w:bottom w:w="100" w:type="dxa"/>
              <w:end w:w="130" w:type="dxa"/>
            </w:tcMar>
            <w:vAlign w:val="center"/>
          </w:tcPr>
          <w:p>
            <w:pPr>
              <w:spacing w:after="0" w:line="259" w:lineRule="auto"/>
            </w:pPr>
            <w:r>
              <w:rPr>
                <w:rFonts w:ascii="Aptos" w:hAnsi="Aptos"/>
                <w:color w:val="1E252B"/>
                <w:sz w:val="17"/>
              </w:rPr>
              <w:t>Repository/commit, issue or request, initiator, environment, purpose.</w:t>
            </w:r>
          </w:p>
        </w:tc>
      </w:tr>
      <w:tr>
        <w:trPr>
          <w:cantSplit/>
        </w:trPr>
        <w:tc>
          <w:tcPr>
            <w:tcW w:type="dxa" w:w="1850"/>
            <w:shd w:fill="F7F9FB"/>
            <w:tcMar>
              <w:top w:w="100" w:type="dxa"/>
              <w:start w:w="130" w:type="dxa"/>
              <w:bottom w:w="100" w:type="dxa"/>
              <w:end w:w="130" w:type="dxa"/>
            </w:tcMar>
            <w:vAlign w:val="center"/>
          </w:tcPr>
          <w:p>
            <w:pPr>
              <w:spacing w:after="0" w:line="259" w:lineRule="auto"/>
            </w:pPr>
            <w:r>
              <w:rPr>
                <w:rFonts w:ascii="Aptos" w:hAnsi="Aptos"/>
                <w:color w:val="1E252B"/>
                <w:sz w:val="17"/>
              </w:rPr>
              <w:t>Decision</w:t>
            </w:r>
          </w:p>
        </w:tc>
        <w:tc>
          <w:tcPr>
            <w:tcW w:type="dxa" w:w="7510"/>
            <w:shd w:fill="F7F9FB"/>
            <w:tcMar>
              <w:top w:w="100" w:type="dxa"/>
              <w:start w:w="130" w:type="dxa"/>
              <w:bottom w:w="100" w:type="dxa"/>
              <w:end w:w="130" w:type="dxa"/>
            </w:tcMar>
            <w:vAlign w:val="center"/>
          </w:tcPr>
          <w:p>
            <w:pPr>
              <w:spacing w:after="0" w:line="259" w:lineRule="auto"/>
            </w:pPr>
            <w:r>
              <w:rPr>
                <w:rFonts w:ascii="Aptos" w:hAnsi="Aptos"/>
                <w:color w:val="1E252B"/>
                <w:sz w:val="17"/>
              </w:rPr>
              <w:t>Policy version, risk class, approval evidence, validation outputs.</w:t>
            </w:r>
          </w:p>
        </w:tc>
      </w:tr>
      <w:tr>
        <w:trPr>
          <w:cantSplit/>
        </w:trPr>
        <w:tc>
          <w:tcPr>
            <w:tcW w:type="dxa" w:w="1850"/>
            <w:tcMar>
              <w:top w:w="100" w:type="dxa"/>
              <w:start w:w="130" w:type="dxa"/>
              <w:bottom w:w="100" w:type="dxa"/>
              <w:end w:w="130" w:type="dxa"/>
            </w:tcMar>
            <w:vAlign w:val="center"/>
          </w:tcPr>
          <w:p>
            <w:pPr>
              <w:spacing w:after="0" w:line="259" w:lineRule="auto"/>
            </w:pPr>
            <w:r>
              <w:rPr>
                <w:rFonts w:ascii="Aptos" w:hAnsi="Aptos"/>
                <w:color w:val="1E252B"/>
                <w:sz w:val="17"/>
              </w:rPr>
              <w:t>Artifact</w:t>
            </w:r>
          </w:p>
        </w:tc>
        <w:tc>
          <w:tcPr>
            <w:tcW w:type="dxa" w:w="7510"/>
            <w:tcMar>
              <w:top w:w="100" w:type="dxa"/>
              <w:start w:w="130" w:type="dxa"/>
              <w:bottom w:w="100" w:type="dxa"/>
              <w:end w:w="130" w:type="dxa"/>
            </w:tcMar>
            <w:vAlign w:val="center"/>
          </w:tcPr>
          <w:p>
            <w:pPr>
              <w:spacing w:after="0" w:line="259" w:lineRule="auto"/>
            </w:pPr>
            <w:r>
              <w:rPr>
                <w:rFonts w:ascii="Aptos" w:hAnsi="Aptos"/>
                <w:color w:val="1E252B"/>
                <w:sz w:val="17"/>
              </w:rPr>
              <w:t>Content digest, signature, provenance, dependencies/SBOM where applicable.</w:t>
            </w:r>
          </w:p>
        </w:tc>
      </w:tr>
      <w:tr>
        <w:trPr>
          <w:cantSplit/>
        </w:trPr>
        <w:tc>
          <w:tcPr>
            <w:tcW w:type="dxa" w:w="1850"/>
            <w:shd w:fill="F7F9FB"/>
            <w:tcMar>
              <w:top w:w="100" w:type="dxa"/>
              <w:start w:w="130" w:type="dxa"/>
              <w:bottom w:w="100" w:type="dxa"/>
              <w:end w:w="130" w:type="dxa"/>
            </w:tcMar>
            <w:vAlign w:val="center"/>
          </w:tcPr>
          <w:p>
            <w:pPr>
              <w:spacing w:after="0" w:line="259" w:lineRule="auto"/>
            </w:pPr>
            <w:r>
              <w:rPr>
                <w:rFonts w:ascii="Aptos" w:hAnsi="Aptos"/>
                <w:color w:val="1E252B"/>
                <w:sz w:val="17"/>
              </w:rPr>
              <w:t>Execution</w:t>
            </w:r>
          </w:p>
        </w:tc>
        <w:tc>
          <w:tcPr>
            <w:tcW w:type="dxa" w:w="7510"/>
            <w:shd w:fill="F7F9FB"/>
            <w:tcMar>
              <w:top w:w="100" w:type="dxa"/>
              <w:start w:w="130" w:type="dxa"/>
              <w:bottom w:w="100" w:type="dxa"/>
              <w:end w:w="130" w:type="dxa"/>
            </w:tcMar>
            <w:vAlign w:val="center"/>
          </w:tcPr>
          <w:p>
            <w:pPr>
              <w:spacing w:after="0" w:line="259" w:lineRule="auto"/>
            </w:pPr>
            <w:r>
              <w:rPr>
                <w:rFonts w:ascii="Aptos" w:hAnsi="Aptos"/>
                <w:color w:val="1E252B"/>
                <w:sz w:val="17"/>
              </w:rPr>
              <w:t>Executor identity, target, timestamps, lease, bounded credentials, declared operations.</w:t>
            </w:r>
          </w:p>
        </w:tc>
      </w:tr>
      <w:tr>
        <w:trPr>
          <w:cantSplit/>
        </w:trPr>
        <w:tc>
          <w:tcPr>
            <w:tcW w:type="dxa" w:w="1850"/>
            <w:tcMar>
              <w:top w:w="100" w:type="dxa"/>
              <w:start w:w="130" w:type="dxa"/>
              <w:bottom w:w="100" w:type="dxa"/>
              <w:end w:w="130" w:type="dxa"/>
            </w:tcMar>
            <w:vAlign w:val="center"/>
          </w:tcPr>
          <w:p>
            <w:pPr>
              <w:spacing w:after="0" w:line="259" w:lineRule="auto"/>
            </w:pPr>
            <w:r>
              <w:rPr>
                <w:rFonts w:ascii="Aptos" w:hAnsi="Aptos"/>
                <w:color w:val="1E252B"/>
                <w:sz w:val="17"/>
              </w:rPr>
              <w:t>Outcome</w:t>
            </w:r>
          </w:p>
        </w:tc>
        <w:tc>
          <w:tcPr>
            <w:tcW w:type="dxa" w:w="7510"/>
            <w:tcMar>
              <w:top w:w="100" w:type="dxa"/>
              <w:start w:w="130" w:type="dxa"/>
              <w:bottom w:w="100" w:type="dxa"/>
              <w:end w:w="130" w:type="dxa"/>
            </w:tcMar>
            <w:vAlign w:val="center"/>
          </w:tcPr>
          <w:p>
            <w:pPr>
              <w:spacing w:after="0" w:line="259" w:lineRule="auto"/>
            </w:pPr>
            <w:r>
              <w:rPr>
                <w:rFonts w:ascii="Aptos" w:hAnsi="Aptos"/>
                <w:color w:val="1E252B"/>
                <w:sz w:val="17"/>
              </w:rPr>
              <w:t>Postconditions, health checks, changed resources, errors, rollback result.</w:t>
            </w:r>
          </w:p>
        </w:tc>
      </w:tr>
      <w:tr>
        <w:trPr>
          <w:cantSplit/>
        </w:trPr>
        <w:tc>
          <w:tcPr>
            <w:tcW w:type="dxa" w:w="1850"/>
            <w:shd w:fill="F7F9FB"/>
            <w:tcMar>
              <w:top w:w="100" w:type="dxa"/>
              <w:start w:w="130" w:type="dxa"/>
              <w:bottom w:w="100" w:type="dxa"/>
              <w:end w:w="130" w:type="dxa"/>
            </w:tcMar>
            <w:vAlign w:val="center"/>
          </w:tcPr>
          <w:p>
            <w:pPr>
              <w:spacing w:after="0" w:line="259" w:lineRule="auto"/>
            </w:pPr>
            <w:r>
              <w:rPr>
                <w:rFonts w:ascii="Aptos" w:hAnsi="Aptos"/>
                <w:color w:val="1E252B"/>
                <w:sz w:val="17"/>
              </w:rPr>
              <w:t>Integrity</w:t>
            </w:r>
          </w:p>
        </w:tc>
        <w:tc>
          <w:tcPr>
            <w:tcW w:type="dxa" w:w="7510"/>
            <w:shd w:fill="F7F9FB"/>
            <w:tcMar>
              <w:top w:w="100" w:type="dxa"/>
              <w:start w:w="130" w:type="dxa"/>
              <w:bottom w:w="100" w:type="dxa"/>
              <w:end w:w="130" w:type="dxa"/>
            </w:tcMar>
            <w:vAlign w:val="center"/>
          </w:tcPr>
          <w:p>
            <w:pPr>
              <w:spacing w:after="0" w:line="259" w:lineRule="auto"/>
            </w:pPr>
            <w:r>
              <w:rPr>
                <w:rFonts w:ascii="Aptos" w:hAnsi="Aptos"/>
                <w:color w:val="1E252B"/>
                <w:sz w:val="17"/>
              </w:rPr>
              <w:t>Receipt signature, previous-receipt hash or equivalent chain, durable storage references.</w:t>
            </w:r>
          </w:p>
        </w:tc>
      </w:tr>
    </w:tbl>
    <w:p>
      <w:pPr>
        <w:spacing w:after="40"/>
      </w:pPr>
    </w:p>
    <w:p>
      <w:pPr>
        <w:pStyle w:val="Heading2"/>
        <w:keepNext/>
      </w:pPr>
      <w:r>
        <w:t>12.2 Tamper resistance</w:t>
      </w:r>
    </w:p>
    <w:p>
      <w:pPr>
        <w:pStyle w:val="NyvoraList"/>
        <w:numPr>
          <w:ilvl w:val="0"/>
          <w:numId w:val="10"/>
        </w:numPr>
      </w:pPr>
      <w:r>
        <w:rPr>
          <w:rFonts w:ascii="Aptos" w:hAnsi="Aptos"/>
          <w:color w:val="1E252B"/>
        </w:rPr>
        <w:t xml:space="preserve"> Receipts are signed by executor identities and linked to immutable artifact and desired-state digests.</w:t>
      </w:r>
    </w:p>
    <w:p>
      <w:pPr>
        <w:pStyle w:val="NyvoraList"/>
        <w:numPr>
          <w:ilvl w:val="0"/>
          <w:numId w:val="10"/>
        </w:numPr>
      </w:pPr>
      <w:r>
        <w:rPr>
          <w:rFonts w:ascii="Aptos" w:hAnsi="Aptos"/>
          <w:color w:val="1E252B"/>
        </w:rPr>
        <w:t xml:space="preserve"> Critical evidence is copied to an append-only or object-locked location outside the executor's write domain.</w:t>
      </w:r>
    </w:p>
    <w:p>
      <w:pPr>
        <w:pStyle w:val="NyvoraList"/>
        <w:numPr>
          <w:ilvl w:val="0"/>
          <w:numId w:val="10"/>
        </w:numPr>
      </w:pPr>
      <w:r>
        <w:rPr>
          <w:rFonts w:ascii="Aptos" w:hAnsi="Aptos"/>
          <w:color w:val="1E252B"/>
        </w:rPr>
        <w:t xml:space="preserve"> A compromised runner cannot both perform a sensitive action and rewrite the only historical record.</w:t>
      </w:r>
    </w:p>
    <w:p>
      <w:pPr>
        <w:pStyle w:val="NyvoraList"/>
        <w:numPr>
          <w:ilvl w:val="0"/>
          <w:numId w:val="10"/>
        </w:numPr>
      </w:pPr>
      <w:r>
        <w:rPr>
          <w:rFonts w:ascii="Aptos" w:hAnsi="Aptos"/>
          <w:color w:val="1E252B"/>
        </w:rPr>
        <w:t xml:space="preserve"> Retention and deletion rules are themselves protected desired state; evidence destruction is R4 unless an independently retained copy remains.</w:t>
      </w:r>
    </w:p>
    <w:p>
      <w:pPr>
        <w:pStyle w:val="NyvoraList"/>
        <w:numPr>
          <w:ilvl w:val="0"/>
          <w:numId w:val="10"/>
        </w:numPr>
      </w:pPr>
      <w:r>
        <w:rPr>
          <w:rFonts w:ascii="Aptos" w:hAnsi="Aptos"/>
          <w:color w:val="1E252B"/>
        </w:rPr>
        <w:t xml:space="preserve"> Clock synchronization and monotonic sequencing support forensic ordering without treating time alone as proof.</w:t>
      </w:r>
    </w:p>
    <w:p>
      <w:pPr>
        <w:pStyle w:val="Heading2"/>
        <w:keepNext/>
      </w:pPr>
      <w:r>
        <w:t>12.3 Observability</w:t>
      </w:r>
    </w:p>
    <w:p>
      <w:pPr/>
      <w:r>
        <w:rPr>
          <w:rFonts w:ascii="Aptos" w:hAnsi="Aptos"/>
          <w:color w:val="1E252B"/>
        </w:rPr>
        <w:t>Metrics, logs, traces, inventory, drift, and action state feed the Nyvora Console. Observability data may trigger proposals or predefined safety responses, but only policy and desired-state provenance can authorize a material mutation.</w:t>
      </w:r>
    </w:p>
    <w:p>
      <w:pPr>
        <w:pStyle w:val="Heading1"/>
        <w:keepNext/>
      </w:pPr>
      <w:r>
        <w:t>13. Security threat model</w:t>
      </w:r>
    </w:p>
    <w:p>
      <w:pPr>
        <w:pStyle w:val="Heading2"/>
        <w:keepNext/>
      </w:pPr>
      <w:r>
        <w:t>13.1 Priority model</w:t>
      </w:r>
    </w:p>
    <w:p>
      <w:pPr>
        <w:pStyle w:val="NyvoraCallout"/>
        <w:shd w:fill="FDEEEE"/>
        <w:keepLines/>
        <w:pBdr>
          <w:left w:val="single" w:sz="18" w:space="8" w:color="9B2C2C"/>
        </w:pBdr>
      </w:pPr>
      <w:r>
        <w:rPr>
          <w:rFonts w:ascii="Aptos" w:hAnsi="Aptos"/>
          <w:b/>
          <w:color w:val="9B2C2C"/>
          <w:sz w:val="18"/>
        </w:rPr>
        <w:t xml:space="preserve">PRIMARY ARCHITECTURE-SPECIFIC THREAT  </w:t>
      </w:r>
      <w:r>
        <w:rPr>
          <w:rFonts w:ascii="Aptos" w:hAnsi="Aptos"/>
          <w:color w:val="1E252B"/>
          <w:sz w:val="21"/>
        </w:rPr>
        <w:t>Runaway or compromised automation that possesses valid-looking authority. The architecture therefore treats provenance, bounded capability, reversibility, fencing, and independent evidence as first-class controls.</w:t>
      </w:r>
    </w:p>
    <w:p>
      <w:pPr/>
      <w:r>
        <w:rPr>
          <w:rFonts w:ascii="Aptos" w:hAnsi="Aptos"/>
          <w:color w:val="1E252B"/>
        </w:rPr>
        <w:t>Credential compromise, administrative lockout, and irrecoverable state loss remain co-equal catastrophic outcomes. Controls must not mitigate one by creating another—for example, tightening access until the owner cannot recover the system.</w:t>
      </w:r>
    </w:p>
    <w:tbl>
      <w:tblPr>
        <w:tblStyle w:val="TableGrid"/>
        <w:tblW w:type="dxa" w:w="9360"/>
        <w:tblLayout w:type="fixed"/>
        <w:tblLook w:firstColumn="1" w:firstRow="1" w:lastColumn="0" w:lastRow="0" w:noHBand="0" w:noVBand="1" w:val="04A0"/>
        <w:jc w:val="left"/>
        <w:tblInd w:w="130" w:type="dxa"/>
      </w:tblPr>
      <w:tblGrid>
        <w:gridCol w:w="600"/>
        <w:gridCol w:w="2200"/>
        <w:gridCol w:w="4170"/>
        <w:gridCol w:w="2390"/>
      </w:tblGrid>
      <w:tr>
        <w:trPr>
          <w:tblHeader w:val="true"/>
          <w:cantSplit/>
        </w:trPr>
        <w:tc>
          <w:tcPr>
            <w:tcW w:type="dxa" w:w="600"/>
            <w:tcMar>
              <w:top w:w="100" w:type="dxa"/>
              <w:start w:w="130" w:type="dxa"/>
              <w:bottom w:w="100" w:type="dxa"/>
              <w:end w:w="130" w:type="dxa"/>
            </w:tcMar>
            <w:vAlign w:val="center"/>
            <w:shd w:fill="14213D"/>
          </w:tcPr>
          <w:p>
            <w:pPr>
              <w:spacing w:after="0"/>
              <w:jc w:val="left"/>
            </w:pPr>
            <w:r>
              <w:rPr>
                <w:rFonts w:ascii="Aptos" w:hAnsi="Aptos"/>
                <w:b/>
                <w:color w:val="FFFFFF"/>
                <w:sz w:val="16"/>
              </w:rPr>
              <w:t>ID</w:t>
            </w:r>
          </w:p>
        </w:tc>
        <w:tc>
          <w:tcPr>
            <w:tcW w:type="dxa" w:w="2200"/>
            <w:tcMar>
              <w:top w:w="100" w:type="dxa"/>
              <w:start w:w="130" w:type="dxa"/>
              <w:bottom w:w="100" w:type="dxa"/>
              <w:end w:w="130" w:type="dxa"/>
            </w:tcMar>
            <w:vAlign w:val="center"/>
            <w:shd w:fill="14213D"/>
          </w:tcPr>
          <w:p>
            <w:pPr>
              <w:spacing w:after="0"/>
              <w:jc w:val="left"/>
            </w:pPr>
            <w:r>
              <w:rPr>
                <w:rFonts w:ascii="Aptos" w:hAnsi="Aptos"/>
                <w:b/>
                <w:color w:val="FFFFFF"/>
                <w:sz w:val="16"/>
              </w:rPr>
              <w:t>Threat</w:t>
            </w:r>
          </w:p>
        </w:tc>
        <w:tc>
          <w:tcPr>
            <w:tcW w:type="dxa" w:w="4170"/>
            <w:tcMar>
              <w:top w:w="100" w:type="dxa"/>
              <w:start w:w="130" w:type="dxa"/>
              <w:bottom w:w="100" w:type="dxa"/>
              <w:end w:w="130" w:type="dxa"/>
            </w:tcMar>
            <w:vAlign w:val="center"/>
            <w:shd w:fill="14213D"/>
          </w:tcPr>
          <w:p>
            <w:pPr>
              <w:spacing w:after="0"/>
              <w:jc w:val="left"/>
            </w:pPr>
            <w:r>
              <w:rPr>
                <w:rFonts w:ascii="Aptos" w:hAnsi="Aptos"/>
                <w:b/>
                <w:color w:val="FFFFFF"/>
                <w:sz w:val="16"/>
              </w:rPr>
              <w:t>Primary controls</w:t>
            </w:r>
          </w:p>
        </w:tc>
        <w:tc>
          <w:tcPr>
            <w:tcW w:type="dxa" w:w="2390"/>
            <w:tcMar>
              <w:top w:w="100" w:type="dxa"/>
              <w:start w:w="130" w:type="dxa"/>
              <w:bottom w:w="100" w:type="dxa"/>
              <w:end w:w="130" w:type="dxa"/>
            </w:tcMar>
            <w:vAlign w:val="center"/>
            <w:shd w:fill="14213D"/>
          </w:tcPr>
          <w:p>
            <w:pPr>
              <w:spacing w:after="0"/>
              <w:jc w:val="left"/>
            </w:pPr>
            <w:r>
              <w:rPr>
                <w:rFonts w:ascii="Aptos" w:hAnsi="Aptos"/>
                <w:b/>
                <w:color w:val="FFFFFF"/>
                <w:sz w:val="16"/>
              </w:rPr>
              <w:t>Residual risk</w:t>
            </w:r>
          </w:p>
        </w:tc>
      </w:tr>
      <w:tr>
        <w:trPr>
          <w:cantSplit/>
        </w:trPr>
        <w:tc>
          <w:tcPr>
            <w:tcW w:type="dxa" w:w="600"/>
            <w:tcMar>
              <w:top w:w="100" w:type="dxa"/>
              <w:start w:w="130" w:type="dxa"/>
              <w:bottom w:w="100" w:type="dxa"/>
              <w:end w:w="130" w:type="dxa"/>
            </w:tcMar>
            <w:vAlign w:val="center"/>
          </w:tcPr>
          <w:p>
            <w:pPr>
              <w:spacing w:after="0" w:line="259" w:lineRule="auto"/>
            </w:pPr>
            <w:r>
              <w:rPr>
                <w:rFonts w:ascii="Aptos" w:hAnsi="Aptos"/>
                <w:color w:val="1E252B"/>
                <w:sz w:val="14"/>
              </w:rPr>
              <w:t>T1</w:t>
            </w:r>
          </w:p>
        </w:tc>
        <w:tc>
          <w:tcPr>
            <w:tcW w:type="dxa" w:w="2200"/>
            <w:tcMar>
              <w:top w:w="100" w:type="dxa"/>
              <w:start w:w="130" w:type="dxa"/>
              <w:bottom w:w="100" w:type="dxa"/>
              <w:end w:w="130" w:type="dxa"/>
            </w:tcMar>
            <w:vAlign w:val="center"/>
          </w:tcPr>
          <w:p>
            <w:pPr>
              <w:spacing w:after="0" w:line="259" w:lineRule="auto"/>
            </w:pPr>
            <w:r>
              <w:rPr>
                <w:rFonts w:ascii="Aptos" w:hAnsi="Aptos"/>
                <w:color w:val="1E252B"/>
                <w:sz w:val="14"/>
              </w:rPr>
              <w:t>Compromised GitHub account or workflow</w:t>
            </w:r>
          </w:p>
        </w:tc>
        <w:tc>
          <w:tcPr>
            <w:tcW w:type="dxa" w:w="4170"/>
            <w:tcMar>
              <w:top w:w="100" w:type="dxa"/>
              <w:start w:w="130" w:type="dxa"/>
              <w:bottom w:w="100" w:type="dxa"/>
              <w:end w:w="130" w:type="dxa"/>
            </w:tcMar>
            <w:vAlign w:val="center"/>
          </w:tcPr>
          <w:p>
            <w:pPr>
              <w:spacing w:after="0" w:line="259" w:lineRule="auto"/>
            </w:pPr>
            <w:r>
              <w:rPr>
                <w:rFonts w:ascii="Aptos" w:hAnsi="Aptos"/>
                <w:color w:val="1E252B"/>
                <w:sz w:val="14"/>
              </w:rPr>
              <w:t>Protected branches/environments, least-permission tokens, OIDC, pinned actions, signed releases, anomaly alerts.</w:t>
            </w:r>
          </w:p>
        </w:tc>
        <w:tc>
          <w:tcPr>
            <w:tcW w:type="dxa" w:w="2390"/>
            <w:tcMar>
              <w:top w:w="100" w:type="dxa"/>
              <w:start w:w="130" w:type="dxa"/>
              <w:bottom w:w="100" w:type="dxa"/>
              <w:end w:w="130" w:type="dxa"/>
            </w:tcMar>
            <w:vAlign w:val="center"/>
          </w:tcPr>
          <w:p>
            <w:pPr>
              <w:spacing w:after="0" w:line="259" w:lineRule="auto"/>
            </w:pPr>
            <w:r>
              <w:rPr>
                <w:rFonts w:ascii="Aptos" w:hAnsi="Aptos"/>
                <w:color w:val="1E252B"/>
                <w:sz w:val="14"/>
              </w:rPr>
              <w:t>Provider/account compromise remains a concentration risk; offline recovery is required.</w:t>
            </w:r>
          </w:p>
        </w:tc>
      </w:tr>
      <w:tr>
        <w:trPr>
          <w:cantSplit/>
        </w:trPr>
        <w:tc>
          <w:tcPr>
            <w:tcW w:type="dxa" w:w="600"/>
            <w:shd w:fill="F7F9FB"/>
            <w:tcMar>
              <w:top w:w="100" w:type="dxa"/>
              <w:start w:w="130" w:type="dxa"/>
              <w:bottom w:w="100" w:type="dxa"/>
              <w:end w:w="130" w:type="dxa"/>
            </w:tcMar>
            <w:vAlign w:val="center"/>
          </w:tcPr>
          <w:p>
            <w:pPr>
              <w:spacing w:after="0" w:line="259" w:lineRule="auto"/>
            </w:pPr>
            <w:r>
              <w:rPr>
                <w:rFonts w:ascii="Aptos" w:hAnsi="Aptos"/>
                <w:color w:val="1E252B"/>
                <w:sz w:val="14"/>
              </w:rPr>
              <w:t>T2</w:t>
            </w:r>
          </w:p>
        </w:tc>
        <w:tc>
          <w:tcPr>
            <w:tcW w:type="dxa" w:w="2200"/>
            <w:shd w:fill="F7F9FB"/>
            <w:tcMar>
              <w:top w:w="100" w:type="dxa"/>
              <w:start w:w="130" w:type="dxa"/>
              <w:bottom w:w="100" w:type="dxa"/>
              <w:end w:w="130" w:type="dxa"/>
            </w:tcMar>
            <w:vAlign w:val="center"/>
          </w:tcPr>
          <w:p>
            <w:pPr>
              <w:spacing w:after="0" w:line="259" w:lineRule="auto"/>
            </w:pPr>
            <w:r>
              <w:rPr>
                <w:rFonts w:ascii="Aptos" w:hAnsi="Aptos"/>
                <w:color w:val="1E252B"/>
                <w:sz w:val="14"/>
              </w:rPr>
              <w:t>Agent exceeds intended scope</w:t>
            </w:r>
          </w:p>
        </w:tc>
        <w:tc>
          <w:tcPr>
            <w:tcW w:type="dxa" w:w="4170"/>
            <w:shd w:fill="F7F9FB"/>
            <w:tcMar>
              <w:top w:w="100" w:type="dxa"/>
              <w:start w:w="130" w:type="dxa"/>
              <w:bottom w:w="100" w:type="dxa"/>
              <w:end w:w="130" w:type="dxa"/>
            </w:tcMar>
            <w:vAlign w:val="center"/>
          </w:tcPr>
          <w:p>
            <w:pPr>
              <w:spacing w:after="0" w:line="259" w:lineRule="auto"/>
            </w:pPr>
            <w:r>
              <w:rPr>
                <w:rFonts w:ascii="Aptos" w:hAnsi="Aptos"/>
                <w:color w:val="1E252B"/>
                <w:sz w:val="14"/>
              </w:rPr>
              <w:t>Action envelopes, capability broker, policy engine, supervisor mediation, environment boundaries.</w:t>
            </w:r>
          </w:p>
        </w:tc>
        <w:tc>
          <w:tcPr>
            <w:tcW w:type="dxa" w:w="2390"/>
            <w:shd w:fill="F7F9FB"/>
            <w:tcMar>
              <w:top w:w="100" w:type="dxa"/>
              <w:start w:w="130" w:type="dxa"/>
              <w:bottom w:w="100" w:type="dxa"/>
              <w:end w:w="130" w:type="dxa"/>
            </w:tcMar>
            <w:vAlign w:val="center"/>
          </w:tcPr>
          <w:p>
            <w:pPr>
              <w:spacing w:after="0" w:line="259" w:lineRule="auto"/>
            </w:pPr>
            <w:r>
              <w:rPr>
                <w:rFonts w:ascii="Aptos" w:hAnsi="Aptos"/>
                <w:color w:val="1E252B"/>
                <w:sz w:val="14"/>
              </w:rPr>
              <w:t>Policy defects may authorize harmful but valid actions.</w:t>
            </w:r>
          </w:p>
        </w:tc>
      </w:tr>
      <w:tr>
        <w:trPr>
          <w:cantSplit/>
        </w:trPr>
        <w:tc>
          <w:tcPr>
            <w:tcW w:type="dxa" w:w="600"/>
            <w:tcMar>
              <w:top w:w="100" w:type="dxa"/>
              <w:start w:w="130" w:type="dxa"/>
              <w:bottom w:w="100" w:type="dxa"/>
              <w:end w:w="130" w:type="dxa"/>
            </w:tcMar>
            <w:vAlign w:val="center"/>
          </w:tcPr>
          <w:p>
            <w:pPr>
              <w:spacing w:after="0" w:line="259" w:lineRule="auto"/>
            </w:pPr>
            <w:r>
              <w:rPr>
                <w:rFonts w:ascii="Aptos" w:hAnsi="Aptos"/>
                <w:color w:val="1E252B"/>
                <w:sz w:val="14"/>
              </w:rPr>
              <w:t>T3</w:t>
            </w:r>
          </w:p>
        </w:tc>
        <w:tc>
          <w:tcPr>
            <w:tcW w:type="dxa" w:w="2200"/>
            <w:tcMar>
              <w:top w:w="100" w:type="dxa"/>
              <w:start w:w="130" w:type="dxa"/>
              <w:bottom w:w="100" w:type="dxa"/>
              <w:end w:w="130" w:type="dxa"/>
            </w:tcMar>
            <w:vAlign w:val="center"/>
          </w:tcPr>
          <w:p>
            <w:pPr>
              <w:spacing w:after="0" w:line="259" w:lineRule="auto"/>
            </w:pPr>
            <w:r>
              <w:rPr>
                <w:rFonts w:ascii="Aptos" w:hAnsi="Aptos"/>
                <w:color w:val="1E252B"/>
                <w:sz w:val="14"/>
              </w:rPr>
              <w:t>Compromised ASUS</w:t>
            </w:r>
          </w:p>
        </w:tc>
        <w:tc>
          <w:tcPr>
            <w:tcW w:type="dxa" w:w="4170"/>
            <w:tcMar>
              <w:top w:w="100" w:type="dxa"/>
              <w:start w:w="130" w:type="dxa"/>
              <w:bottom w:w="100" w:type="dxa"/>
              <w:end w:w="130" w:type="dxa"/>
            </w:tcMar>
            <w:vAlign w:val="center"/>
          </w:tcPr>
          <w:p>
            <w:pPr>
              <w:spacing w:after="0" w:line="259" w:lineRule="auto"/>
            </w:pPr>
            <w:r>
              <w:rPr>
                <w:rFonts w:ascii="Aptos" w:hAnsi="Aptos"/>
                <w:color w:val="1E252B"/>
                <w:sz w:val="14"/>
              </w:rPr>
              <w:t>Rootless isolation, per-environment identity, off-host evidence, minimal host supervisor, rebuild from Git.</w:t>
            </w:r>
          </w:p>
        </w:tc>
        <w:tc>
          <w:tcPr>
            <w:tcW w:type="dxa" w:w="2390"/>
            <w:tcMar>
              <w:top w:w="100" w:type="dxa"/>
              <w:start w:w="130" w:type="dxa"/>
              <w:bottom w:w="100" w:type="dxa"/>
              <w:end w:w="130" w:type="dxa"/>
            </w:tcMar>
            <w:vAlign w:val="center"/>
          </w:tcPr>
          <w:p>
            <w:pPr>
              <w:spacing w:after="0" w:line="259" w:lineRule="auto"/>
            </w:pPr>
            <w:r>
              <w:rPr>
                <w:rFonts w:ascii="Aptos" w:hAnsi="Aptos"/>
                <w:color w:val="1E252B"/>
                <w:sz w:val="14"/>
              </w:rPr>
              <w:t>Operational data on ASUS may still be exposed or damaged.</w:t>
            </w:r>
          </w:p>
        </w:tc>
      </w:tr>
      <w:tr>
        <w:trPr>
          <w:cantSplit/>
        </w:trPr>
        <w:tc>
          <w:tcPr>
            <w:tcW w:type="dxa" w:w="600"/>
            <w:shd w:fill="F7F9FB"/>
            <w:tcMar>
              <w:top w:w="100" w:type="dxa"/>
              <w:start w:w="130" w:type="dxa"/>
              <w:bottom w:w="100" w:type="dxa"/>
              <w:end w:w="130" w:type="dxa"/>
            </w:tcMar>
            <w:vAlign w:val="center"/>
          </w:tcPr>
          <w:p>
            <w:pPr>
              <w:spacing w:after="0" w:line="259" w:lineRule="auto"/>
            </w:pPr>
            <w:r>
              <w:rPr>
                <w:rFonts w:ascii="Aptos" w:hAnsi="Aptos"/>
                <w:color w:val="1E252B"/>
                <w:sz w:val="14"/>
              </w:rPr>
              <w:t>T4</w:t>
            </w:r>
          </w:p>
        </w:tc>
        <w:tc>
          <w:tcPr>
            <w:tcW w:type="dxa" w:w="2200"/>
            <w:shd w:fill="F7F9FB"/>
            <w:tcMar>
              <w:top w:w="100" w:type="dxa"/>
              <w:start w:w="130" w:type="dxa"/>
              <w:bottom w:w="100" w:type="dxa"/>
              <w:end w:w="130" w:type="dxa"/>
            </w:tcMar>
            <w:vAlign w:val="center"/>
          </w:tcPr>
          <w:p>
            <w:pPr>
              <w:spacing w:after="0" w:line="259" w:lineRule="auto"/>
            </w:pPr>
            <w:r>
              <w:rPr>
                <w:rFonts w:ascii="Aptos" w:hAnsi="Aptos"/>
                <w:color w:val="1E252B"/>
                <w:sz w:val="14"/>
              </w:rPr>
              <w:t>Compromised VPS / public edge</w:t>
            </w:r>
          </w:p>
        </w:tc>
        <w:tc>
          <w:tcPr>
            <w:tcW w:type="dxa" w:w="4170"/>
            <w:shd w:fill="F7F9FB"/>
            <w:tcMar>
              <w:top w:w="100" w:type="dxa"/>
              <w:start w:w="130" w:type="dxa"/>
              <w:bottom w:w="100" w:type="dxa"/>
              <w:end w:w="130" w:type="dxa"/>
            </w:tcMar>
            <w:vAlign w:val="center"/>
          </w:tcPr>
          <w:p>
            <w:pPr>
              <w:spacing w:after="0" w:line="259" w:lineRule="auto"/>
            </w:pPr>
            <w:r>
              <w:rPr>
                <w:rFonts w:ascii="Aptos" w:hAnsi="Aptos"/>
                <w:color w:val="1E252B"/>
                <w:sz w:val="14"/>
              </w:rPr>
              <w:t>Minimal secrets, segmented roles, private backend access, short-lived identities, edge hardening.</w:t>
            </w:r>
          </w:p>
        </w:tc>
        <w:tc>
          <w:tcPr>
            <w:tcW w:type="dxa" w:w="2390"/>
            <w:shd w:fill="F7F9FB"/>
            <w:tcMar>
              <w:top w:w="100" w:type="dxa"/>
              <w:start w:w="130" w:type="dxa"/>
              <w:bottom w:w="100" w:type="dxa"/>
              <w:end w:w="130" w:type="dxa"/>
            </w:tcMar>
            <w:vAlign w:val="center"/>
          </w:tcPr>
          <w:p>
            <w:pPr>
              <w:spacing w:after="0" w:line="259" w:lineRule="auto"/>
            </w:pPr>
            <w:r>
              <w:rPr>
                <w:rFonts w:ascii="Aptos" w:hAnsi="Aptos"/>
                <w:color w:val="1E252B"/>
                <w:sz w:val="14"/>
              </w:rPr>
              <w:t>Public exposure makes VPS the most scanned node.</w:t>
            </w:r>
          </w:p>
        </w:tc>
      </w:tr>
      <w:tr>
        <w:trPr>
          <w:cantSplit/>
        </w:trPr>
        <w:tc>
          <w:tcPr>
            <w:tcW w:type="dxa" w:w="600"/>
            <w:tcMar>
              <w:top w:w="100" w:type="dxa"/>
              <w:start w:w="130" w:type="dxa"/>
              <w:bottom w:w="100" w:type="dxa"/>
              <w:end w:w="130" w:type="dxa"/>
            </w:tcMar>
            <w:vAlign w:val="center"/>
          </w:tcPr>
          <w:p>
            <w:pPr>
              <w:spacing w:after="0" w:line="259" w:lineRule="auto"/>
            </w:pPr>
            <w:r>
              <w:rPr>
                <w:rFonts w:ascii="Aptos" w:hAnsi="Aptos"/>
                <w:color w:val="1E252B"/>
                <w:sz w:val="14"/>
              </w:rPr>
              <w:t>T5</w:t>
            </w:r>
          </w:p>
        </w:tc>
        <w:tc>
          <w:tcPr>
            <w:tcW w:type="dxa" w:w="2200"/>
            <w:tcMar>
              <w:top w:w="100" w:type="dxa"/>
              <w:start w:w="130" w:type="dxa"/>
              <w:bottom w:w="100" w:type="dxa"/>
              <w:end w:w="130" w:type="dxa"/>
            </w:tcMar>
            <w:vAlign w:val="center"/>
          </w:tcPr>
          <w:p>
            <w:pPr>
              <w:spacing w:after="0" w:line="259" w:lineRule="auto"/>
            </w:pPr>
            <w:r>
              <w:rPr>
                <w:rFonts w:ascii="Aptos" w:hAnsi="Aptos"/>
                <w:color w:val="1E252B"/>
                <w:sz w:val="14"/>
              </w:rPr>
              <w:t>Split-brain control</w:t>
            </w:r>
          </w:p>
        </w:tc>
        <w:tc>
          <w:tcPr>
            <w:tcW w:type="dxa" w:w="4170"/>
            <w:tcMar>
              <w:top w:w="100" w:type="dxa"/>
              <w:start w:w="130" w:type="dxa"/>
              <w:bottom w:w="100" w:type="dxa"/>
              <w:end w:w="130" w:type="dxa"/>
            </w:tcMar>
            <w:vAlign w:val="center"/>
          </w:tcPr>
          <w:p>
            <w:pPr>
              <w:spacing w:after="0" w:line="259" w:lineRule="auto"/>
            </w:pPr>
            <w:r>
              <w:rPr>
                <w:rFonts w:ascii="Aptos" w:hAnsi="Aptos"/>
                <w:color w:val="1E252B"/>
                <w:sz w:val="14"/>
              </w:rPr>
              <w:t>Single-writer lease, fencing proof, freeze-on-ambiguity.</w:t>
            </w:r>
          </w:p>
        </w:tc>
        <w:tc>
          <w:tcPr>
            <w:tcW w:type="dxa" w:w="2390"/>
            <w:tcMar>
              <w:top w:w="100" w:type="dxa"/>
              <w:start w:w="130" w:type="dxa"/>
              <w:bottom w:w="100" w:type="dxa"/>
              <w:end w:w="130" w:type="dxa"/>
            </w:tcMar>
            <w:vAlign w:val="center"/>
          </w:tcPr>
          <w:p>
            <w:pPr>
              <w:spacing w:after="0" w:line="259" w:lineRule="auto"/>
            </w:pPr>
            <w:r>
              <w:rPr>
                <w:rFonts w:ascii="Aptos" w:hAnsi="Aptos"/>
                <w:color w:val="1E252B"/>
                <w:sz w:val="14"/>
              </w:rPr>
              <w:t>Reduced availability during ambiguous network partitions.</w:t>
            </w:r>
          </w:p>
        </w:tc>
      </w:tr>
      <w:tr>
        <w:trPr>
          <w:cantSplit/>
        </w:trPr>
        <w:tc>
          <w:tcPr>
            <w:tcW w:type="dxa" w:w="600"/>
            <w:shd w:fill="F7F9FB"/>
            <w:tcMar>
              <w:top w:w="100" w:type="dxa"/>
              <w:start w:w="130" w:type="dxa"/>
              <w:bottom w:w="100" w:type="dxa"/>
              <w:end w:w="130" w:type="dxa"/>
            </w:tcMar>
            <w:vAlign w:val="center"/>
          </w:tcPr>
          <w:p>
            <w:pPr>
              <w:spacing w:after="0" w:line="259" w:lineRule="auto"/>
            </w:pPr>
            <w:r>
              <w:rPr>
                <w:rFonts w:ascii="Aptos" w:hAnsi="Aptos"/>
                <w:color w:val="1E252B"/>
                <w:sz w:val="14"/>
              </w:rPr>
              <w:t>T6</w:t>
            </w:r>
          </w:p>
        </w:tc>
        <w:tc>
          <w:tcPr>
            <w:tcW w:type="dxa" w:w="2200"/>
            <w:shd w:fill="F7F9FB"/>
            <w:tcMar>
              <w:top w:w="100" w:type="dxa"/>
              <w:start w:w="130" w:type="dxa"/>
              <w:bottom w:w="100" w:type="dxa"/>
              <w:end w:w="130" w:type="dxa"/>
            </w:tcMar>
            <w:vAlign w:val="center"/>
          </w:tcPr>
          <w:p>
            <w:pPr>
              <w:spacing w:after="0" w:line="259" w:lineRule="auto"/>
            </w:pPr>
            <w:r>
              <w:rPr>
                <w:rFonts w:ascii="Aptos" w:hAnsi="Aptos"/>
                <w:color w:val="1E252B"/>
                <w:sz w:val="14"/>
              </w:rPr>
              <w:t>Secret leakage</w:t>
            </w:r>
          </w:p>
        </w:tc>
        <w:tc>
          <w:tcPr>
            <w:tcW w:type="dxa" w:w="4170"/>
            <w:shd w:fill="F7F9FB"/>
            <w:tcMar>
              <w:top w:w="100" w:type="dxa"/>
              <w:start w:w="130" w:type="dxa"/>
              <w:bottom w:w="100" w:type="dxa"/>
              <w:end w:w="130" w:type="dxa"/>
            </w:tcMar>
            <w:vAlign w:val="center"/>
          </w:tcPr>
          <w:p>
            <w:pPr>
              <w:spacing w:after="0" w:line="259" w:lineRule="auto"/>
            </w:pPr>
            <w:r>
              <w:rPr>
                <w:rFonts w:ascii="Aptos" w:hAnsi="Aptos"/>
                <w:color w:val="1E252B"/>
                <w:sz w:val="14"/>
              </w:rPr>
              <w:t>Dedicated secrets capability, no repository/log transport, masking, audience-scoped TTL credentials.</w:t>
            </w:r>
          </w:p>
        </w:tc>
        <w:tc>
          <w:tcPr>
            <w:tcW w:type="dxa" w:w="2390"/>
            <w:shd w:fill="F7F9FB"/>
            <w:tcMar>
              <w:top w:w="100" w:type="dxa"/>
              <w:start w:w="130" w:type="dxa"/>
              <w:bottom w:w="100" w:type="dxa"/>
              <w:end w:w="130" w:type="dxa"/>
            </w:tcMar>
            <w:vAlign w:val="center"/>
          </w:tcPr>
          <w:p>
            <w:pPr>
              <w:spacing w:after="0" w:line="259" w:lineRule="auto"/>
            </w:pPr>
            <w:r>
              <w:rPr>
                <w:rFonts w:ascii="Aptos" w:hAnsi="Aptos"/>
                <w:color w:val="1E252B"/>
                <w:sz w:val="14"/>
              </w:rPr>
              <w:t>Third-party systems may not support ideal short-lived credentials.</w:t>
            </w:r>
          </w:p>
        </w:tc>
      </w:tr>
      <w:tr>
        <w:trPr>
          <w:cantSplit/>
        </w:trPr>
        <w:tc>
          <w:tcPr>
            <w:tcW w:type="dxa" w:w="600"/>
            <w:tcMar>
              <w:top w:w="100" w:type="dxa"/>
              <w:start w:w="130" w:type="dxa"/>
              <w:bottom w:w="100" w:type="dxa"/>
              <w:end w:w="130" w:type="dxa"/>
            </w:tcMar>
            <w:vAlign w:val="center"/>
          </w:tcPr>
          <w:p>
            <w:pPr>
              <w:spacing w:after="0" w:line="259" w:lineRule="auto"/>
            </w:pPr>
            <w:r>
              <w:rPr>
                <w:rFonts w:ascii="Aptos" w:hAnsi="Aptos"/>
                <w:color w:val="1E252B"/>
                <w:sz w:val="14"/>
              </w:rPr>
              <w:t>T7</w:t>
            </w:r>
          </w:p>
        </w:tc>
        <w:tc>
          <w:tcPr>
            <w:tcW w:type="dxa" w:w="2200"/>
            <w:tcMar>
              <w:top w:w="100" w:type="dxa"/>
              <w:start w:w="130" w:type="dxa"/>
              <w:bottom w:w="100" w:type="dxa"/>
              <w:end w:w="130" w:type="dxa"/>
            </w:tcMar>
            <w:vAlign w:val="center"/>
          </w:tcPr>
          <w:p>
            <w:pPr>
              <w:spacing w:after="0" w:line="259" w:lineRule="auto"/>
            </w:pPr>
            <w:r>
              <w:rPr>
                <w:rFonts w:ascii="Aptos" w:hAnsi="Aptos"/>
                <w:color w:val="1E252B"/>
                <w:sz w:val="14"/>
              </w:rPr>
              <w:t>Evidence tampering</w:t>
            </w:r>
          </w:p>
        </w:tc>
        <w:tc>
          <w:tcPr>
            <w:tcW w:type="dxa" w:w="4170"/>
            <w:tcMar>
              <w:top w:w="100" w:type="dxa"/>
              <w:start w:w="130" w:type="dxa"/>
              <w:bottom w:w="100" w:type="dxa"/>
              <w:end w:w="130" w:type="dxa"/>
            </w:tcMar>
            <w:vAlign w:val="center"/>
          </w:tcPr>
          <w:p>
            <w:pPr>
              <w:spacing w:after="0" w:line="259" w:lineRule="auto"/>
            </w:pPr>
            <w:r>
              <w:rPr>
                <w:rFonts w:ascii="Aptos" w:hAnsi="Aptos"/>
                <w:color w:val="1E252B"/>
                <w:sz w:val="14"/>
              </w:rPr>
              <w:t>Signed receipts, hash linkage, independent append-only copy.</w:t>
            </w:r>
          </w:p>
        </w:tc>
        <w:tc>
          <w:tcPr>
            <w:tcW w:type="dxa" w:w="2390"/>
            <w:tcMar>
              <w:top w:w="100" w:type="dxa"/>
              <w:start w:w="130" w:type="dxa"/>
              <w:bottom w:w="100" w:type="dxa"/>
              <w:end w:w="130" w:type="dxa"/>
            </w:tcMar>
            <w:vAlign w:val="center"/>
          </w:tcPr>
          <w:p>
            <w:pPr>
              <w:spacing w:after="0" w:line="259" w:lineRule="auto"/>
            </w:pPr>
            <w:r>
              <w:rPr>
                <w:rFonts w:ascii="Aptos" w:hAnsi="Aptos"/>
                <w:color w:val="1E252B"/>
                <w:sz w:val="14"/>
              </w:rPr>
              <w:t>Availability of evidence sink can constrain mutations.</w:t>
            </w:r>
          </w:p>
        </w:tc>
      </w:tr>
      <w:tr>
        <w:trPr>
          <w:cantSplit/>
        </w:trPr>
        <w:tc>
          <w:tcPr>
            <w:tcW w:type="dxa" w:w="600"/>
            <w:shd w:fill="F7F9FB"/>
            <w:tcMar>
              <w:top w:w="100" w:type="dxa"/>
              <w:start w:w="130" w:type="dxa"/>
              <w:bottom w:w="100" w:type="dxa"/>
              <w:end w:w="130" w:type="dxa"/>
            </w:tcMar>
            <w:vAlign w:val="center"/>
          </w:tcPr>
          <w:p>
            <w:pPr>
              <w:spacing w:after="0" w:line="259" w:lineRule="auto"/>
            </w:pPr>
            <w:r>
              <w:rPr>
                <w:rFonts w:ascii="Aptos" w:hAnsi="Aptos"/>
                <w:color w:val="1E252B"/>
                <w:sz w:val="14"/>
              </w:rPr>
              <w:t>T8</w:t>
            </w:r>
          </w:p>
        </w:tc>
        <w:tc>
          <w:tcPr>
            <w:tcW w:type="dxa" w:w="2200"/>
            <w:shd w:fill="F7F9FB"/>
            <w:tcMar>
              <w:top w:w="100" w:type="dxa"/>
              <w:start w:w="130" w:type="dxa"/>
              <w:bottom w:w="100" w:type="dxa"/>
              <w:end w:w="130" w:type="dxa"/>
            </w:tcMar>
            <w:vAlign w:val="center"/>
          </w:tcPr>
          <w:p>
            <w:pPr>
              <w:spacing w:after="0" w:line="259" w:lineRule="auto"/>
            </w:pPr>
            <w:r>
              <w:rPr>
                <w:rFonts w:ascii="Aptos" w:hAnsi="Aptos"/>
                <w:color w:val="1E252B"/>
                <w:sz w:val="14"/>
              </w:rPr>
              <w:t>Owner lockout</w:t>
            </w:r>
          </w:p>
        </w:tc>
        <w:tc>
          <w:tcPr>
            <w:tcW w:type="dxa" w:w="4170"/>
            <w:shd w:fill="F7F9FB"/>
            <w:tcMar>
              <w:top w:w="100" w:type="dxa"/>
              <w:start w:w="130" w:type="dxa"/>
              <w:bottom w:w="100" w:type="dxa"/>
              <w:end w:w="130" w:type="dxa"/>
            </w:tcMar>
            <w:vAlign w:val="center"/>
          </w:tcPr>
          <w:p>
            <w:pPr>
              <w:spacing w:after="0" w:line="259" w:lineRule="auto"/>
            </w:pPr>
            <w:r>
              <w:rPr>
                <w:rFonts w:ascii="Aptos" w:hAnsi="Aptos"/>
                <w:color w:val="1E252B"/>
                <w:sz w:val="14"/>
              </w:rPr>
              <w:t>Offline recovery root, out-of-band path, tested break-glass, documented revocation.</w:t>
            </w:r>
          </w:p>
        </w:tc>
        <w:tc>
          <w:tcPr>
            <w:tcW w:type="dxa" w:w="2390"/>
            <w:shd w:fill="F7F9FB"/>
            <w:tcMar>
              <w:top w:w="100" w:type="dxa"/>
              <w:start w:w="130" w:type="dxa"/>
              <w:bottom w:w="100" w:type="dxa"/>
              <w:end w:w="130" w:type="dxa"/>
            </w:tcMar>
            <w:vAlign w:val="center"/>
          </w:tcPr>
          <w:p>
            <w:pPr>
              <w:spacing w:after="0" w:line="259" w:lineRule="auto"/>
            </w:pPr>
            <w:r>
              <w:rPr>
                <w:rFonts w:ascii="Aptos" w:hAnsi="Aptos"/>
                <w:color w:val="1E252B"/>
                <w:sz w:val="14"/>
              </w:rPr>
              <w:t>Recovery material itself becomes a high-value asset.</w:t>
            </w:r>
          </w:p>
        </w:tc>
      </w:tr>
      <w:tr>
        <w:trPr>
          <w:cantSplit/>
        </w:trPr>
        <w:tc>
          <w:tcPr>
            <w:tcW w:type="dxa" w:w="600"/>
            <w:tcMar>
              <w:top w:w="100" w:type="dxa"/>
              <w:start w:w="130" w:type="dxa"/>
              <w:bottom w:w="100" w:type="dxa"/>
              <w:end w:w="130" w:type="dxa"/>
            </w:tcMar>
            <w:vAlign w:val="center"/>
          </w:tcPr>
          <w:p>
            <w:pPr>
              <w:spacing w:after="0" w:line="259" w:lineRule="auto"/>
            </w:pPr>
            <w:r>
              <w:rPr>
                <w:rFonts w:ascii="Aptos" w:hAnsi="Aptos"/>
                <w:color w:val="1E252B"/>
                <w:sz w:val="14"/>
              </w:rPr>
              <w:t>T9</w:t>
            </w:r>
          </w:p>
        </w:tc>
        <w:tc>
          <w:tcPr>
            <w:tcW w:type="dxa" w:w="2200"/>
            <w:tcMar>
              <w:top w:w="100" w:type="dxa"/>
              <w:start w:w="130" w:type="dxa"/>
              <w:bottom w:w="100" w:type="dxa"/>
              <w:end w:w="130" w:type="dxa"/>
            </w:tcMar>
            <w:vAlign w:val="center"/>
          </w:tcPr>
          <w:p>
            <w:pPr>
              <w:spacing w:after="0" w:line="259" w:lineRule="auto"/>
            </w:pPr>
            <w:r>
              <w:rPr>
                <w:rFonts w:ascii="Aptos" w:hAnsi="Aptos"/>
                <w:color w:val="1E252B"/>
                <w:sz w:val="14"/>
              </w:rPr>
              <w:t>Supply-chain compromise</w:t>
            </w:r>
          </w:p>
        </w:tc>
        <w:tc>
          <w:tcPr>
            <w:tcW w:type="dxa" w:w="4170"/>
            <w:tcMar>
              <w:top w:w="100" w:type="dxa"/>
              <w:start w:w="130" w:type="dxa"/>
              <w:bottom w:w="100" w:type="dxa"/>
              <w:end w:w="130" w:type="dxa"/>
            </w:tcMar>
            <w:vAlign w:val="center"/>
          </w:tcPr>
          <w:p>
            <w:pPr>
              <w:spacing w:after="0" w:line="259" w:lineRule="auto"/>
            </w:pPr>
            <w:r>
              <w:rPr>
                <w:rFonts w:ascii="Aptos" w:hAnsi="Aptos"/>
                <w:color w:val="1E252B"/>
                <w:sz w:val="14"/>
              </w:rPr>
              <w:t>Pinned dependencies/actions, attestations, SBOM, scan, build-once promotion.</w:t>
            </w:r>
          </w:p>
        </w:tc>
        <w:tc>
          <w:tcPr>
            <w:tcW w:type="dxa" w:w="2390"/>
            <w:tcMar>
              <w:top w:w="100" w:type="dxa"/>
              <w:start w:w="130" w:type="dxa"/>
              <w:bottom w:w="100" w:type="dxa"/>
              <w:end w:w="130" w:type="dxa"/>
            </w:tcMar>
            <w:vAlign w:val="center"/>
          </w:tcPr>
          <w:p>
            <w:pPr>
              <w:spacing w:after="0" w:line="259" w:lineRule="auto"/>
            </w:pPr>
            <w:r>
              <w:rPr>
                <w:rFonts w:ascii="Aptos" w:hAnsi="Aptos"/>
                <w:color w:val="1E252B"/>
                <w:sz w:val="14"/>
              </w:rPr>
              <w:t>Trusted upstream compromise remains possible.</w:t>
            </w:r>
          </w:p>
        </w:tc>
      </w:tr>
      <w:tr>
        <w:trPr>
          <w:cantSplit/>
        </w:trPr>
        <w:tc>
          <w:tcPr>
            <w:tcW w:type="dxa" w:w="600"/>
            <w:shd w:fill="F7F9FB"/>
            <w:tcMar>
              <w:top w:w="100" w:type="dxa"/>
              <w:start w:w="130" w:type="dxa"/>
              <w:bottom w:w="100" w:type="dxa"/>
              <w:end w:w="130" w:type="dxa"/>
            </w:tcMar>
            <w:vAlign w:val="center"/>
          </w:tcPr>
          <w:p>
            <w:pPr>
              <w:spacing w:after="0" w:line="259" w:lineRule="auto"/>
            </w:pPr>
            <w:r>
              <w:rPr>
                <w:rFonts w:ascii="Aptos" w:hAnsi="Aptos"/>
                <w:color w:val="1E252B"/>
                <w:sz w:val="14"/>
              </w:rPr>
              <w:t>T10</w:t>
            </w:r>
          </w:p>
        </w:tc>
        <w:tc>
          <w:tcPr>
            <w:tcW w:type="dxa" w:w="2200"/>
            <w:shd w:fill="F7F9FB"/>
            <w:tcMar>
              <w:top w:w="100" w:type="dxa"/>
              <w:start w:w="130" w:type="dxa"/>
              <w:bottom w:w="100" w:type="dxa"/>
              <w:end w:w="130" w:type="dxa"/>
            </w:tcMar>
            <w:vAlign w:val="center"/>
          </w:tcPr>
          <w:p>
            <w:pPr>
              <w:spacing w:after="0" w:line="259" w:lineRule="auto"/>
            </w:pPr>
            <w:r>
              <w:rPr>
                <w:rFonts w:ascii="Aptos" w:hAnsi="Aptos"/>
                <w:color w:val="1E252B"/>
                <w:sz w:val="14"/>
              </w:rPr>
              <w:t>Backup or restore failure</w:t>
            </w:r>
          </w:p>
        </w:tc>
        <w:tc>
          <w:tcPr>
            <w:tcW w:type="dxa" w:w="4170"/>
            <w:shd w:fill="F7F9FB"/>
            <w:tcMar>
              <w:top w:w="100" w:type="dxa"/>
              <w:start w:w="130" w:type="dxa"/>
              <w:bottom w:w="100" w:type="dxa"/>
              <w:end w:w="130" w:type="dxa"/>
            </w:tcMar>
            <w:vAlign w:val="center"/>
          </w:tcPr>
          <w:p>
            <w:pPr>
              <w:spacing w:after="0" w:line="259" w:lineRule="auto"/>
            </w:pPr>
            <w:r>
              <w:rPr>
                <w:rFonts w:ascii="Aptos" w:hAnsi="Aptos"/>
                <w:color w:val="1E252B"/>
                <w:sz w:val="14"/>
              </w:rPr>
              <w:t>Automated integrity checks and restore drills with evidence.</w:t>
            </w:r>
          </w:p>
        </w:tc>
        <w:tc>
          <w:tcPr>
            <w:tcW w:type="dxa" w:w="2390"/>
            <w:shd w:fill="F7F9FB"/>
            <w:tcMar>
              <w:top w:w="100" w:type="dxa"/>
              <w:start w:w="130" w:type="dxa"/>
              <w:bottom w:w="100" w:type="dxa"/>
              <w:end w:w="130" w:type="dxa"/>
            </w:tcMar>
            <w:vAlign w:val="center"/>
          </w:tcPr>
          <w:p>
            <w:pPr>
              <w:spacing w:after="0" w:line="259" w:lineRule="auto"/>
            </w:pPr>
            <w:r>
              <w:rPr>
                <w:rFonts w:ascii="Aptos" w:hAnsi="Aptos"/>
                <w:color w:val="1E252B"/>
                <w:sz w:val="14"/>
              </w:rPr>
              <w:t>Workload-specific recovery gaps require explicit ownership.</w:t>
            </w:r>
          </w:p>
        </w:tc>
      </w:tr>
    </w:tbl>
    <w:p>
      <w:pPr>
        <w:spacing w:after="40"/>
      </w:pPr>
    </w:p>
    <w:p>
      <w:pPr>
        <w:pStyle w:val="Heading2"/>
        <w:keepNext/>
      </w:pPr>
      <w:r>
        <w:t>13.2 Trust boundaries</w:t>
      </w:r>
    </w:p>
    <w:p>
      <w:pPr>
        <w:pStyle w:val="NyvoraList"/>
        <w:numPr>
          <w:ilvl w:val="0"/>
          <w:numId w:val="10"/>
        </w:numPr>
      </w:pPr>
      <w:r>
        <w:rPr>
          <w:rFonts w:ascii="Aptos" w:hAnsi="Aptos"/>
          <w:color w:val="1E252B"/>
        </w:rPr>
        <w:t xml:space="preserve"> Internet ↔ VPS public edge</w:t>
      </w:r>
    </w:p>
    <w:p>
      <w:pPr>
        <w:pStyle w:val="NyvoraList"/>
        <w:numPr>
          <w:ilvl w:val="0"/>
          <w:numId w:val="10"/>
        </w:numPr>
      </w:pPr>
      <w:r>
        <w:rPr>
          <w:rFonts w:ascii="Aptos" w:hAnsi="Aptos"/>
          <w:color w:val="1E252B"/>
        </w:rPr>
        <w:t xml:space="preserve"> GitHub-hosted workflows ↔ self-hosted Nyvora nodes</w:t>
      </w:r>
    </w:p>
    <w:p>
      <w:pPr>
        <w:pStyle w:val="NyvoraList"/>
        <w:numPr>
          <w:ilvl w:val="0"/>
          <w:numId w:val="10"/>
        </w:numPr>
      </w:pPr>
      <w:r>
        <w:rPr>
          <w:rFonts w:ascii="Aptos" w:hAnsi="Aptos"/>
          <w:color w:val="1E252B"/>
        </w:rPr>
        <w:t xml:space="preserve"> Mac owner plane ↔ always-on control services</w:t>
      </w:r>
    </w:p>
    <w:p>
      <w:pPr>
        <w:pStyle w:val="NyvoraList"/>
        <w:numPr>
          <w:ilvl w:val="0"/>
          <w:numId w:val="10"/>
        </w:numPr>
      </w:pPr>
      <w:r>
        <w:rPr>
          <w:rFonts w:ascii="Aptos" w:hAnsi="Aptos"/>
          <w:color w:val="1E252B"/>
        </w:rPr>
        <w:t xml:space="preserve"> Control services ↔ rootless workload environments</w:t>
      </w:r>
    </w:p>
    <w:p>
      <w:pPr>
        <w:pStyle w:val="NyvoraList"/>
        <w:numPr>
          <w:ilvl w:val="0"/>
          <w:numId w:val="10"/>
        </w:numPr>
      </w:pPr>
      <w:r>
        <w:rPr>
          <w:rFonts w:ascii="Aptos" w:hAnsi="Aptos"/>
          <w:color w:val="1E252B"/>
        </w:rPr>
        <w:t xml:space="preserve"> Rootless workloads ↔ bounded host supervisor</w:t>
      </w:r>
    </w:p>
    <w:p>
      <w:pPr>
        <w:pStyle w:val="NyvoraList"/>
        <w:numPr>
          <w:ilvl w:val="0"/>
          <w:numId w:val="10"/>
        </w:numPr>
      </w:pPr>
      <w:r>
        <w:rPr>
          <w:rFonts w:ascii="Aptos" w:hAnsi="Aptos"/>
          <w:color w:val="1E252B"/>
        </w:rPr>
        <w:t xml:space="preserve"> Executor write domain ↔ independent evidence retention</w:t>
      </w:r>
    </w:p>
    <w:p>
      <w:pPr>
        <w:pStyle w:val="NyvoraList"/>
        <w:numPr>
          <w:ilvl w:val="0"/>
          <w:numId w:val="10"/>
        </w:numPr>
      </w:pPr>
      <w:r>
        <w:rPr>
          <w:rFonts w:ascii="Aptos" w:hAnsi="Aptos"/>
          <w:color w:val="1E252B"/>
        </w:rPr>
        <w:t xml:space="preserve"> Development/testing identities ↔ operational identities</w:t>
      </w:r>
    </w:p>
    <w:p>
      <w:pPr>
        <w:pStyle w:val="Heading1"/>
        <w:keepNext/>
      </w:pPr>
      <w:r>
        <w:t>14. Non-functional requirements and invariants</w:t>
      </w:r>
    </w:p>
    <w:tbl>
      <w:tblPr>
        <w:tblStyle w:val="TableGrid"/>
        <w:tblW w:type="dxa" w:w="9360"/>
        <w:tblLayout w:type="fixed"/>
        <w:tblLook w:firstColumn="1" w:firstRow="1" w:lastColumn="0" w:lastRow="0" w:noHBand="0" w:noVBand="1" w:val="04A0"/>
        <w:jc w:val="left"/>
        <w:tblInd w:w="130" w:type="dxa"/>
      </w:tblPr>
      <w:tblGrid>
        <w:gridCol w:w="900"/>
        <w:gridCol w:w="2450"/>
        <w:gridCol w:w="6010"/>
      </w:tblGrid>
      <w:tr>
        <w:trPr>
          <w:tblHeader w:val="true"/>
          <w:cantSplit/>
        </w:trPr>
        <w:tc>
          <w:tcPr>
            <w:tcW w:type="dxa" w:w="900"/>
            <w:tcMar>
              <w:top w:w="100" w:type="dxa"/>
              <w:start w:w="130" w:type="dxa"/>
              <w:bottom w:w="100" w:type="dxa"/>
              <w:end w:w="130" w:type="dxa"/>
            </w:tcMar>
            <w:vAlign w:val="center"/>
            <w:shd w:fill="14213D"/>
          </w:tcPr>
          <w:p>
            <w:pPr>
              <w:spacing w:after="0"/>
              <w:jc w:val="left"/>
            </w:pPr>
            <w:r>
              <w:rPr>
                <w:rFonts w:ascii="Aptos" w:hAnsi="Aptos"/>
                <w:b/>
                <w:color w:val="FFFFFF"/>
                <w:sz w:val="16"/>
              </w:rPr>
              <w:t>ID</w:t>
            </w:r>
          </w:p>
        </w:tc>
        <w:tc>
          <w:tcPr>
            <w:tcW w:type="dxa" w:w="2450"/>
            <w:tcMar>
              <w:top w:w="100" w:type="dxa"/>
              <w:start w:w="130" w:type="dxa"/>
              <w:bottom w:w="100" w:type="dxa"/>
              <w:end w:w="130" w:type="dxa"/>
            </w:tcMar>
            <w:vAlign w:val="center"/>
            <w:shd w:fill="14213D"/>
          </w:tcPr>
          <w:p>
            <w:pPr>
              <w:spacing w:after="0"/>
              <w:jc w:val="left"/>
            </w:pPr>
            <w:r>
              <w:rPr>
                <w:rFonts w:ascii="Aptos" w:hAnsi="Aptos"/>
                <w:b/>
                <w:color w:val="FFFFFF"/>
                <w:sz w:val="16"/>
              </w:rPr>
              <w:t>Requirement</w:t>
            </w:r>
          </w:p>
        </w:tc>
        <w:tc>
          <w:tcPr>
            <w:tcW w:type="dxa" w:w="6010"/>
            <w:tcMar>
              <w:top w:w="100" w:type="dxa"/>
              <w:start w:w="130" w:type="dxa"/>
              <w:bottom w:w="100" w:type="dxa"/>
              <w:end w:w="130" w:type="dxa"/>
            </w:tcMar>
            <w:vAlign w:val="center"/>
            <w:shd w:fill="14213D"/>
          </w:tcPr>
          <w:p>
            <w:pPr>
              <w:spacing w:after="0"/>
              <w:jc w:val="left"/>
            </w:pPr>
            <w:r>
              <w:rPr>
                <w:rFonts w:ascii="Aptos" w:hAnsi="Aptos"/>
                <w:b/>
                <w:color w:val="FFFFFF"/>
                <w:sz w:val="16"/>
              </w:rPr>
              <w:t>Baseline statement</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NFR-01</w:t>
            </w:r>
          </w:p>
        </w:tc>
        <w:tc>
          <w:tcPr>
            <w:tcW w:type="dxa" w:w="2450"/>
            <w:tcMar>
              <w:top w:w="100" w:type="dxa"/>
              <w:start w:w="130" w:type="dxa"/>
              <w:bottom w:w="100" w:type="dxa"/>
              <w:end w:w="130" w:type="dxa"/>
            </w:tcMar>
            <w:vAlign w:val="center"/>
          </w:tcPr>
          <w:p>
            <w:pPr>
              <w:spacing w:after="0" w:line="259" w:lineRule="auto"/>
            </w:pPr>
            <w:r>
              <w:rPr>
                <w:rFonts w:ascii="Aptos" w:hAnsi="Aptos"/>
                <w:color w:val="1E252B"/>
                <w:sz w:val="15"/>
              </w:rPr>
              <w:t>Low-touch operation</w:t>
            </w:r>
          </w:p>
        </w:tc>
        <w:tc>
          <w:tcPr>
            <w:tcW w:type="dxa" w:w="6010"/>
            <w:tcMar>
              <w:top w:w="100" w:type="dxa"/>
              <w:start w:w="130" w:type="dxa"/>
              <w:bottom w:w="100" w:type="dxa"/>
              <w:end w:w="130" w:type="dxa"/>
            </w:tcMar>
            <w:vAlign w:val="center"/>
          </w:tcPr>
          <w:p>
            <w:pPr>
              <w:spacing w:after="0" w:line="259" w:lineRule="auto"/>
            </w:pPr>
            <w:r>
              <w:rPr>
                <w:rFonts w:ascii="Aptos" w:hAnsi="Aptos"/>
                <w:color w:val="1E252B"/>
                <w:sz w:val="15"/>
              </w:rPr>
              <w:t>Routine healthy operation requires no daily intervention; exceptions are surfaced concisely.</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NFR-02</w:t>
            </w:r>
          </w:p>
        </w:tc>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5"/>
              </w:rPr>
              <w:t>Determinism</w:t>
            </w:r>
          </w:p>
        </w:tc>
        <w:tc>
          <w:tcPr>
            <w:tcW w:type="dxa" w:w="6010"/>
            <w:shd w:fill="F7F9FB"/>
            <w:tcMar>
              <w:top w:w="100" w:type="dxa"/>
              <w:start w:w="130" w:type="dxa"/>
              <w:bottom w:w="100" w:type="dxa"/>
              <w:end w:w="130" w:type="dxa"/>
            </w:tcMar>
            <w:vAlign w:val="center"/>
          </w:tcPr>
          <w:p>
            <w:pPr>
              <w:spacing w:after="0" w:line="259" w:lineRule="auto"/>
            </w:pPr>
            <w:r>
              <w:rPr>
                <w:rFonts w:ascii="Aptos" w:hAnsi="Aptos"/>
                <w:color w:val="1E252B"/>
                <w:sz w:val="15"/>
              </w:rPr>
              <w:t>The same desired-state digest and inputs resolve to the same declared action plan.</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NFR-03</w:t>
            </w:r>
          </w:p>
        </w:tc>
        <w:tc>
          <w:tcPr>
            <w:tcW w:type="dxa" w:w="2450"/>
            <w:tcMar>
              <w:top w:w="100" w:type="dxa"/>
              <w:start w:w="130" w:type="dxa"/>
              <w:bottom w:w="100" w:type="dxa"/>
              <w:end w:w="130" w:type="dxa"/>
            </w:tcMar>
            <w:vAlign w:val="center"/>
          </w:tcPr>
          <w:p>
            <w:pPr>
              <w:spacing w:after="0" w:line="259" w:lineRule="auto"/>
            </w:pPr>
            <w:r>
              <w:rPr>
                <w:rFonts w:ascii="Aptos" w:hAnsi="Aptos"/>
                <w:color w:val="1E252B"/>
                <w:sz w:val="15"/>
              </w:rPr>
              <w:t>Idempotency</w:t>
            </w:r>
          </w:p>
        </w:tc>
        <w:tc>
          <w:tcPr>
            <w:tcW w:type="dxa" w:w="6010"/>
            <w:tcMar>
              <w:top w:w="100" w:type="dxa"/>
              <w:start w:w="130" w:type="dxa"/>
              <w:bottom w:w="100" w:type="dxa"/>
              <w:end w:w="130" w:type="dxa"/>
            </w:tcMar>
            <w:vAlign w:val="center"/>
          </w:tcPr>
          <w:p>
            <w:pPr>
              <w:spacing w:after="0" w:line="259" w:lineRule="auto"/>
            </w:pPr>
            <w:r>
              <w:rPr>
                <w:rFonts w:ascii="Aptos" w:hAnsi="Aptos"/>
                <w:color w:val="1E252B"/>
                <w:sz w:val="15"/>
              </w:rPr>
              <w:t>Safe retries do not multiply side effects; non-idempotent steps carry replay protection.</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NFR-04</w:t>
            </w:r>
          </w:p>
        </w:tc>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5"/>
              </w:rPr>
              <w:t>Reconstructability</w:t>
            </w:r>
          </w:p>
        </w:tc>
        <w:tc>
          <w:tcPr>
            <w:tcW w:type="dxa" w:w="6010"/>
            <w:shd w:fill="F7F9FB"/>
            <w:tcMar>
              <w:top w:w="100" w:type="dxa"/>
              <w:start w:w="130" w:type="dxa"/>
              <w:bottom w:w="100" w:type="dxa"/>
              <w:end w:w="130" w:type="dxa"/>
            </w:tcMar>
            <w:vAlign w:val="center"/>
          </w:tcPr>
          <w:p>
            <w:pPr>
              <w:spacing w:after="0" w:line="259" w:lineRule="auto"/>
            </w:pPr>
            <w:r>
              <w:rPr>
                <w:rFonts w:ascii="Aptos" w:hAnsi="Aptos"/>
                <w:color w:val="1E252B"/>
                <w:sz w:val="15"/>
              </w:rPr>
              <w:t>Control state can be rebuilt from desired state, inventory, evidence, and declared backups.</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NFR-05</w:t>
            </w:r>
          </w:p>
        </w:tc>
        <w:tc>
          <w:tcPr>
            <w:tcW w:type="dxa" w:w="2450"/>
            <w:tcMar>
              <w:top w:w="100" w:type="dxa"/>
              <w:start w:w="130" w:type="dxa"/>
              <w:bottom w:w="100" w:type="dxa"/>
              <w:end w:w="130" w:type="dxa"/>
            </w:tcMar>
            <w:vAlign w:val="center"/>
          </w:tcPr>
          <w:p>
            <w:pPr>
              <w:spacing w:after="0" w:line="259" w:lineRule="auto"/>
            </w:pPr>
            <w:r>
              <w:rPr>
                <w:rFonts w:ascii="Aptos" w:hAnsi="Aptos"/>
                <w:color w:val="1E252B"/>
                <w:sz w:val="15"/>
              </w:rPr>
              <w:t>Explainability</w:t>
            </w:r>
          </w:p>
        </w:tc>
        <w:tc>
          <w:tcPr>
            <w:tcW w:type="dxa" w:w="6010"/>
            <w:tcMar>
              <w:top w:w="100" w:type="dxa"/>
              <w:start w:w="130" w:type="dxa"/>
              <w:bottom w:w="100" w:type="dxa"/>
              <w:end w:w="130" w:type="dxa"/>
            </w:tcMar>
            <w:vAlign w:val="center"/>
          </w:tcPr>
          <w:p>
            <w:pPr>
              <w:spacing w:after="0" w:line="259" w:lineRule="auto"/>
            </w:pPr>
            <w:r>
              <w:rPr>
                <w:rFonts w:ascii="Aptos" w:hAnsi="Aptos"/>
                <w:color w:val="1E252B"/>
                <w:sz w:val="15"/>
              </w:rPr>
              <w:t>Every material action exposes provenance, risk, policy, target, outcome, and rollback.</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NFR-06</w:t>
            </w:r>
          </w:p>
        </w:tc>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5"/>
              </w:rPr>
              <w:t>Bounded blast radius</w:t>
            </w:r>
          </w:p>
        </w:tc>
        <w:tc>
          <w:tcPr>
            <w:tcW w:type="dxa" w:w="6010"/>
            <w:shd w:fill="F7F9FB"/>
            <w:tcMar>
              <w:top w:w="100" w:type="dxa"/>
              <w:start w:w="130" w:type="dxa"/>
              <w:bottom w:w="100" w:type="dxa"/>
              <w:end w:w="130" w:type="dxa"/>
            </w:tcMar>
            <w:vAlign w:val="center"/>
          </w:tcPr>
          <w:p>
            <w:pPr>
              <w:spacing w:after="0" w:line="259" w:lineRule="auto"/>
            </w:pPr>
            <w:r>
              <w:rPr>
                <w:rFonts w:ascii="Aptos" w:hAnsi="Aptos"/>
                <w:color w:val="1E252B"/>
                <w:sz w:val="15"/>
              </w:rPr>
              <w:t>Actions have explicit target selectors, resource limits, timeouts, and abort criteria.</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NFR-07</w:t>
            </w:r>
          </w:p>
        </w:tc>
        <w:tc>
          <w:tcPr>
            <w:tcW w:type="dxa" w:w="2450"/>
            <w:tcMar>
              <w:top w:w="100" w:type="dxa"/>
              <w:start w:w="130" w:type="dxa"/>
              <w:bottom w:w="100" w:type="dxa"/>
              <w:end w:w="130" w:type="dxa"/>
            </w:tcMar>
            <w:vAlign w:val="center"/>
          </w:tcPr>
          <w:p>
            <w:pPr>
              <w:spacing w:after="0" w:line="259" w:lineRule="auto"/>
            </w:pPr>
            <w:r>
              <w:rPr>
                <w:rFonts w:ascii="Aptos" w:hAnsi="Aptos"/>
                <w:color w:val="1E252B"/>
                <w:sz w:val="15"/>
              </w:rPr>
              <w:t>Portable definitions</w:t>
            </w:r>
          </w:p>
        </w:tc>
        <w:tc>
          <w:tcPr>
            <w:tcW w:type="dxa" w:w="6010"/>
            <w:tcMar>
              <w:top w:w="100" w:type="dxa"/>
              <w:start w:w="130" w:type="dxa"/>
              <w:bottom w:w="100" w:type="dxa"/>
              <w:end w:w="130" w:type="dxa"/>
            </w:tcMar>
            <w:vAlign w:val="center"/>
          </w:tcPr>
          <w:p>
            <w:pPr>
              <w:spacing w:after="0" w:line="259" w:lineRule="auto"/>
            </w:pPr>
            <w:r>
              <w:rPr>
                <w:rFonts w:ascii="Aptos" w:hAnsi="Aptos"/>
                <w:color w:val="1E252B"/>
                <w:sz w:val="15"/>
              </w:rPr>
              <w:t>Environment definitions and playbooks are not trapped in one node's undocumented state.</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NFR-08</w:t>
            </w:r>
          </w:p>
        </w:tc>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5"/>
              </w:rPr>
              <w:t>Safe upgrade</w:t>
            </w:r>
          </w:p>
        </w:tc>
        <w:tc>
          <w:tcPr>
            <w:tcW w:type="dxa" w:w="6010"/>
            <w:shd w:fill="F7F9FB"/>
            <w:tcMar>
              <w:top w:w="100" w:type="dxa"/>
              <w:start w:w="130" w:type="dxa"/>
              <w:bottom w:w="100" w:type="dxa"/>
              <w:end w:w="130" w:type="dxa"/>
            </w:tcMar>
            <w:vAlign w:val="center"/>
          </w:tcPr>
          <w:p>
            <w:pPr>
              <w:spacing w:after="0" w:line="259" w:lineRule="auto"/>
            </w:pPr>
            <w:r>
              <w:rPr>
                <w:rFonts w:ascii="Aptos" w:hAnsi="Aptos"/>
                <w:color w:val="1E252B"/>
                <w:sz w:val="15"/>
              </w:rPr>
              <w:t>Nyvora can upgrade its own components through the same staged and reversible lifecycle.</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NFR-09</w:t>
            </w:r>
          </w:p>
        </w:tc>
        <w:tc>
          <w:tcPr>
            <w:tcW w:type="dxa" w:w="2450"/>
            <w:tcMar>
              <w:top w:w="100" w:type="dxa"/>
              <w:start w:w="130" w:type="dxa"/>
              <w:bottom w:w="100" w:type="dxa"/>
              <w:end w:w="130" w:type="dxa"/>
            </w:tcMar>
            <w:vAlign w:val="center"/>
          </w:tcPr>
          <w:p>
            <w:pPr>
              <w:spacing w:after="0" w:line="259" w:lineRule="auto"/>
            </w:pPr>
            <w:r>
              <w:rPr>
                <w:rFonts w:ascii="Aptos" w:hAnsi="Aptos"/>
                <w:color w:val="1E252B"/>
                <w:sz w:val="15"/>
              </w:rPr>
              <w:t>Clock and identity hygiene</w:t>
            </w:r>
          </w:p>
        </w:tc>
        <w:tc>
          <w:tcPr>
            <w:tcW w:type="dxa" w:w="6010"/>
            <w:tcMar>
              <w:top w:w="100" w:type="dxa"/>
              <w:start w:w="130" w:type="dxa"/>
              <w:bottom w:w="100" w:type="dxa"/>
              <w:end w:w="130" w:type="dxa"/>
            </w:tcMar>
            <w:vAlign w:val="center"/>
          </w:tcPr>
          <w:p>
            <w:pPr>
              <w:spacing w:after="0" w:line="259" w:lineRule="auto"/>
            </w:pPr>
            <w:r>
              <w:rPr>
                <w:rFonts w:ascii="Aptos" w:hAnsi="Aptos"/>
                <w:color w:val="1E252B"/>
                <w:sz w:val="15"/>
              </w:rPr>
              <w:t>Nodes maintain trustworthy time, unique identity, rotation, and revocation.</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NFR-10</w:t>
            </w:r>
          </w:p>
        </w:tc>
        <w:tc>
          <w:tcPr>
            <w:tcW w:type="dxa" w:w="2450"/>
            <w:shd w:fill="F7F9FB"/>
            <w:tcMar>
              <w:top w:w="100" w:type="dxa"/>
              <w:start w:w="130" w:type="dxa"/>
              <w:bottom w:w="100" w:type="dxa"/>
              <w:end w:w="130" w:type="dxa"/>
            </w:tcMar>
            <w:vAlign w:val="center"/>
          </w:tcPr>
          <w:p>
            <w:pPr>
              <w:spacing w:after="0" w:line="259" w:lineRule="auto"/>
            </w:pPr>
            <w:r>
              <w:rPr>
                <w:rFonts w:ascii="Aptos" w:hAnsi="Aptos"/>
                <w:color w:val="1E252B"/>
                <w:sz w:val="15"/>
              </w:rPr>
              <w:t>Resource proportionality</w:t>
            </w:r>
          </w:p>
        </w:tc>
        <w:tc>
          <w:tcPr>
            <w:tcW w:type="dxa" w:w="6010"/>
            <w:shd w:fill="F7F9FB"/>
            <w:tcMar>
              <w:top w:w="100" w:type="dxa"/>
              <w:start w:w="130" w:type="dxa"/>
              <w:bottom w:w="100" w:type="dxa"/>
              <w:end w:w="130" w:type="dxa"/>
            </w:tcMar>
            <w:vAlign w:val="center"/>
          </w:tcPr>
          <w:p>
            <w:pPr>
              <w:spacing w:after="0" w:line="259" w:lineRule="auto"/>
            </w:pPr>
            <w:r>
              <w:rPr>
                <w:rFonts w:ascii="Aptos" w:hAnsi="Aptos"/>
                <w:color w:val="1E252B"/>
                <w:sz w:val="15"/>
              </w:rPr>
              <w:t>The platform remains suitable for a personal multi-environment fleet without enterprise-only overhead.</w:t>
            </w:r>
          </w:p>
        </w:tc>
      </w:tr>
    </w:tbl>
    <w:p>
      <w:pPr>
        <w:spacing w:after="40"/>
      </w:pPr>
    </w:p>
    <w:p>
      <w:pPr>
        <w:pStyle w:val="Heading2"/>
        <w:keepNext/>
      </w:pPr>
      <w:r>
        <w:t>14.1 Hard invariants</w:t>
      </w:r>
    </w:p>
    <w:p>
      <w:pPr>
        <w:pStyle w:val="NyvoraList"/>
        <w:numPr>
          <w:ilvl w:val="0"/>
          <w:numId w:val="10"/>
        </w:numPr>
      </w:pPr>
      <w:r>
        <w:rPr>
          <w:rFonts w:ascii="Aptos" w:hAnsi="Aptos"/>
          <w:color w:val="1E252B"/>
        </w:rPr>
        <w:t xml:space="preserve"> No material forward production or host mutation without a validated action envelope. A break-glass safety stop or revocation may run under declared emergency policy and must be evidenced; it cannot authorize resumption.</w:t>
      </w:r>
    </w:p>
    <w:p>
      <w:pPr>
        <w:pStyle w:val="NyvoraList"/>
        <w:numPr>
          <w:ilvl w:val="0"/>
          <w:numId w:val="10"/>
        </w:numPr>
      </w:pPr>
      <w:r>
        <w:rPr>
          <w:rFonts w:ascii="Aptos" w:hAnsi="Aptos"/>
          <w:color w:val="1E252B"/>
        </w:rPr>
        <w:t xml:space="preserve"> No deployment from uncommitted or unsigned operational material.</w:t>
      </w:r>
    </w:p>
    <w:p>
      <w:pPr>
        <w:pStyle w:val="NyvoraList"/>
        <w:numPr>
          <w:ilvl w:val="0"/>
          <w:numId w:val="10"/>
        </w:numPr>
      </w:pPr>
      <w:r>
        <w:rPr>
          <w:rFonts w:ascii="Aptos" w:hAnsi="Aptos"/>
          <w:color w:val="1E252B"/>
        </w:rPr>
        <w:t xml:space="preserve"> No agent may alter the policy that authorizes its current action.</w:t>
      </w:r>
    </w:p>
    <w:p>
      <w:pPr>
        <w:pStyle w:val="NyvoraList"/>
        <w:numPr>
          <w:ilvl w:val="0"/>
          <w:numId w:val="10"/>
        </w:numPr>
      </w:pPr>
      <w:r>
        <w:rPr>
          <w:rFonts w:ascii="Aptos" w:hAnsi="Aptos"/>
          <w:color w:val="1E252B"/>
        </w:rPr>
        <w:t xml:space="preserve"> No shared broad credential across development, testing, and operational environments.</w:t>
      </w:r>
    </w:p>
    <w:p>
      <w:pPr>
        <w:pStyle w:val="NyvoraList"/>
        <w:numPr>
          <w:ilvl w:val="0"/>
          <w:numId w:val="10"/>
        </w:numPr>
      </w:pPr>
      <w:r>
        <w:rPr>
          <w:rFonts w:ascii="Aptos" w:hAnsi="Aptos"/>
          <w:color w:val="1E252B"/>
        </w:rPr>
        <w:t xml:space="preserve"> No unrestricted container access to the host runtime socket.</w:t>
      </w:r>
    </w:p>
    <w:p>
      <w:pPr>
        <w:pStyle w:val="NyvoraList"/>
        <w:numPr>
          <w:ilvl w:val="0"/>
          <w:numId w:val="10"/>
        </w:numPr>
      </w:pPr>
      <w:r>
        <w:rPr>
          <w:rFonts w:ascii="Aptos" w:hAnsi="Aptos"/>
          <w:color w:val="1E252B"/>
        </w:rPr>
        <w:t xml:space="preserve"> No two active writers for one environment.</w:t>
      </w:r>
    </w:p>
    <w:p>
      <w:pPr>
        <w:pStyle w:val="NyvoraList"/>
        <w:numPr>
          <w:ilvl w:val="0"/>
          <w:numId w:val="10"/>
        </w:numPr>
      </w:pPr>
      <w:r>
        <w:rPr>
          <w:rFonts w:ascii="Aptos" w:hAnsi="Aptos"/>
          <w:color w:val="1E252B"/>
        </w:rPr>
        <w:t xml:space="preserve"> No new desired state accepted during GitHub unavailability.</w:t>
      </w:r>
    </w:p>
    <w:p>
      <w:pPr>
        <w:pStyle w:val="NyvoraList"/>
        <w:numPr>
          <w:ilvl w:val="0"/>
          <w:numId w:val="10"/>
        </w:numPr>
      </w:pPr>
      <w:r>
        <w:rPr>
          <w:rFonts w:ascii="Aptos" w:hAnsi="Aptos"/>
          <w:color w:val="1E252B"/>
        </w:rPr>
        <w:t xml:space="preserve"> No R4 action without explicit owner approval.</w:t>
      </w:r>
    </w:p>
    <w:p>
      <w:pPr>
        <w:pStyle w:val="NyvoraList"/>
        <w:numPr>
          <w:ilvl w:val="0"/>
          <w:numId w:val="10"/>
        </w:numPr>
      </w:pPr>
      <w:r>
        <w:rPr>
          <w:rFonts w:ascii="Aptos" w:hAnsi="Aptos"/>
          <w:color w:val="1E252B"/>
        </w:rPr>
        <w:t xml:space="preserve"> No material action marked complete without durable evidence.</w:t>
      </w:r>
    </w:p>
    <w:p>
      <w:pPr>
        <w:pStyle w:val="NyvoraList"/>
        <w:numPr>
          <w:ilvl w:val="0"/>
          <w:numId w:val="10"/>
        </w:numPr>
      </w:pPr>
      <w:r>
        <w:rPr>
          <w:rFonts w:ascii="Aptos" w:hAnsi="Aptos"/>
          <w:color w:val="1E252B"/>
        </w:rPr>
        <w:t xml:space="preserve"> No backup considered valid solely because its creation command succeeded.</w:t>
      </w:r>
    </w:p>
    <w:p>
      <w:pPr>
        <w:pStyle w:val="Heading1"/>
        <w:keepNext/>
      </w:pPr>
      <w:r>
        <w:t>15. Architecture Decision Records</w:t>
      </w:r>
    </w:p>
    <w:p>
      <w:pPr/>
      <w:r>
        <w:rPr>
          <w:rFonts w:ascii="Aptos" w:hAnsi="Aptos"/>
          <w:color w:val="1E252B"/>
        </w:rPr>
        <w:t>The following decisions are accepted as a coherent set in this adopted baseline. Detailed implementation ADRs may select specific products without changing these decisions.</w:t>
      </w:r>
    </w:p>
    <w:tbl>
      <w:tblPr>
        <w:tblStyle w:val="TableGrid"/>
        <w:tblW w:type="dxa" w:w="9360"/>
        <w:tblLayout w:type="fixed"/>
        <w:tblLook w:firstColumn="1" w:firstRow="1" w:lastColumn="0" w:lastRow="0" w:noHBand="0" w:noVBand="1" w:val="04A0"/>
        <w:jc w:val="left"/>
        <w:tblInd w:w="130" w:type="dxa"/>
      </w:tblPr>
      <w:tblGrid>
        <w:gridCol w:w="1100"/>
        <w:gridCol w:w="3420"/>
        <w:gridCol w:w="1510"/>
        <w:gridCol w:w="3330"/>
      </w:tblGrid>
      <w:tr>
        <w:trPr>
          <w:tblHeader w:val="true"/>
          <w:cantSplit/>
        </w:trPr>
        <w:tc>
          <w:tcPr>
            <w:tcW w:type="dxa" w:w="1100"/>
            <w:tcMar>
              <w:top w:w="100" w:type="dxa"/>
              <w:start w:w="130" w:type="dxa"/>
              <w:bottom w:w="100" w:type="dxa"/>
              <w:end w:w="130" w:type="dxa"/>
            </w:tcMar>
            <w:vAlign w:val="center"/>
            <w:shd w:fill="14213D"/>
          </w:tcPr>
          <w:p>
            <w:pPr>
              <w:spacing w:after="0"/>
              <w:jc w:val="left"/>
            </w:pPr>
            <w:r>
              <w:rPr>
                <w:rFonts w:ascii="Aptos" w:hAnsi="Aptos"/>
                <w:b/>
                <w:color w:val="FFFFFF"/>
                <w:sz w:val="16"/>
              </w:rPr>
              <w:t>ADR</w:t>
            </w:r>
          </w:p>
        </w:tc>
        <w:tc>
          <w:tcPr>
            <w:tcW w:type="dxa" w:w="3420"/>
            <w:tcMar>
              <w:top w:w="100" w:type="dxa"/>
              <w:start w:w="130" w:type="dxa"/>
              <w:bottom w:w="100" w:type="dxa"/>
              <w:end w:w="130" w:type="dxa"/>
            </w:tcMar>
            <w:vAlign w:val="center"/>
            <w:shd w:fill="14213D"/>
          </w:tcPr>
          <w:p>
            <w:pPr>
              <w:spacing w:after="0"/>
              <w:jc w:val="left"/>
            </w:pPr>
            <w:r>
              <w:rPr>
                <w:rFonts w:ascii="Aptos" w:hAnsi="Aptos"/>
                <w:b/>
                <w:color w:val="FFFFFF"/>
                <w:sz w:val="16"/>
              </w:rPr>
              <w:t>Decision</w:t>
            </w:r>
          </w:p>
        </w:tc>
        <w:tc>
          <w:tcPr>
            <w:tcW w:type="dxa" w:w="1510"/>
            <w:tcMar>
              <w:top w:w="100" w:type="dxa"/>
              <w:start w:w="130" w:type="dxa"/>
              <w:bottom w:w="100" w:type="dxa"/>
              <w:end w:w="130" w:type="dxa"/>
            </w:tcMar>
            <w:vAlign w:val="center"/>
            <w:shd w:fill="14213D"/>
          </w:tcPr>
          <w:p>
            <w:pPr>
              <w:spacing w:after="0"/>
              <w:jc w:val="left"/>
            </w:pPr>
            <w:r>
              <w:rPr>
                <w:rFonts w:ascii="Aptos" w:hAnsi="Aptos"/>
                <w:b/>
                <w:color w:val="FFFFFF"/>
                <w:sz w:val="16"/>
              </w:rPr>
              <w:t>Status</w:t>
            </w:r>
          </w:p>
        </w:tc>
        <w:tc>
          <w:tcPr>
            <w:tcW w:type="dxa" w:w="3330"/>
            <w:tcMar>
              <w:top w:w="100" w:type="dxa"/>
              <w:start w:w="130" w:type="dxa"/>
              <w:bottom w:w="100" w:type="dxa"/>
              <w:end w:w="130" w:type="dxa"/>
            </w:tcMar>
            <w:vAlign w:val="center"/>
            <w:shd w:fill="14213D"/>
          </w:tcPr>
          <w:p>
            <w:pPr>
              <w:spacing w:after="0"/>
              <w:jc w:val="left"/>
            </w:pPr>
            <w:r>
              <w:rPr>
                <w:rFonts w:ascii="Aptos" w:hAnsi="Aptos"/>
                <w:b/>
                <w:color w:val="FFFFFF"/>
                <w:sz w:val="16"/>
              </w:rPr>
              <w:t>Consequence</w:t>
            </w:r>
          </w:p>
        </w:tc>
      </w:tr>
      <w:tr>
        <w:trPr>
          <w:cantSplit/>
        </w:trPr>
        <w:tc>
          <w:tcPr>
            <w:tcW w:type="dxa" w:w="1100"/>
            <w:tcMar>
              <w:top w:w="100" w:type="dxa"/>
              <w:start w:w="130" w:type="dxa"/>
              <w:bottom w:w="100" w:type="dxa"/>
              <w:end w:w="130" w:type="dxa"/>
            </w:tcMar>
            <w:vAlign w:val="center"/>
          </w:tcPr>
          <w:p>
            <w:pPr>
              <w:spacing w:after="0" w:line="259" w:lineRule="auto"/>
            </w:pPr>
            <w:r>
              <w:rPr>
                <w:rFonts w:ascii="Aptos" w:hAnsi="Aptos"/>
                <w:color w:val="1E252B"/>
                <w:sz w:val="14"/>
              </w:rPr>
              <w:t>ADR-001</w:t>
            </w:r>
          </w:p>
        </w:tc>
        <w:tc>
          <w:tcPr>
            <w:tcW w:type="dxa" w:w="3420"/>
            <w:tcMar>
              <w:top w:w="100" w:type="dxa"/>
              <w:start w:w="130" w:type="dxa"/>
              <w:bottom w:w="100" w:type="dxa"/>
              <w:end w:w="130" w:type="dxa"/>
            </w:tcMar>
            <w:vAlign w:val="center"/>
          </w:tcPr>
          <w:p>
            <w:pPr>
              <w:spacing w:after="0" w:line="259" w:lineRule="auto"/>
            </w:pPr>
            <w:r>
              <w:rPr>
                <w:rFonts w:ascii="Aptos" w:hAnsi="Aptos"/>
                <w:color w:val="1E252B"/>
                <w:sz w:val="14"/>
              </w:rPr>
              <w:t>GitHub is the durable desired-state authority</w:t>
            </w:r>
          </w:p>
        </w:tc>
        <w:tc>
          <w:tcPr>
            <w:tcW w:type="dxa" w:w="1510"/>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tcMar>
              <w:top w:w="100" w:type="dxa"/>
              <w:start w:w="130" w:type="dxa"/>
              <w:bottom w:w="100" w:type="dxa"/>
              <w:end w:w="130" w:type="dxa"/>
            </w:tcMar>
            <w:vAlign w:val="center"/>
          </w:tcPr>
          <w:p>
            <w:pPr>
              <w:spacing w:after="0" w:line="259" w:lineRule="auto"/>
            </w:pPr>
            <w:r>
              <w:rPr>
                <w:rFonts w:ascii="Aptos" w:hAnsi="Aptos"/>
                <w:color w:val="1E252B"/>
                <w:sz w:val="14"/>
              </w:rPr>
              <w:t>Improves workflow maturity and recovery reproducibility; creates provider concentration mitigated by backup and bounded outage mode.</w:t>
            </w:r>
          </w:p>
        </w:tc>
      </w:tr>
      <w:tr>
        <w:trPr>
          <w:cantSplit/>
        </w:trPr>
        <w:tc>
          <w:tcPr>
            <w:tcW w:type="dxa" w:w="1100"/>
            <w:shd w:fill="F7F9FB"/>
            <w:tcMar>
              <w:top w:w="100" w:type="dxa"/>
              <w:start w:w="130" w:type="dxa"/>
              <w:bottom w:w="100" w:type="dxa"/>
              <w:end w:w="130" w:type="dxa"/>
            </w:tcMar>
            <w:vAlign w:val="center"/>
          </w:tcPr>
          <w:p>
            <w:pPr>
              <w:spacing w:after="0" w:line="259" w:lineRule="auto"/>
            </w:pPr>
            <w:r>
              <w:rPr>
                <w:rFonts w:ascii="Aptos" w:hAnsi="Aptos"/>
                <w:color w:val="1E252B"/>
                <w:sz w:val="14"/>
              </w:rPr>
              <w:t>ADR-002</w:t>
            </w:r>
          </w:p>
        </w:tc>
        <w:tc>
          <w:tcPr>
            <w:tcW w:type="dxa" w:w="3420"/>
            <w:shd w:fill="F7F9FB"/>
            <w:tcMar>
              <w:top w:w="100" w:type="dxa"/>
              <w:start w:w="130" w:type="dxa"/>
              <w:bottom w:w="100" w:type="dxa"/>
              <w:end w:w="130" w:type="dxa"/>
            </w:tcMar>
            <w:vAlign w:val="center"/>
          </w:tcPr>
          <w:p>
            <w:pPr>
              <w:spacing w:after="0" w:line="259" w:lineRule="auto"/>
            </w:pPr>
            <w:r>
              <w:rPr>
                <w:rFonts w:ascii="Aptos" w:hAnsi="Aptos"/>
                <w:color w:val="1E252B"/>
                <w:sz w:val="14"/>
              </w:rPr>
              <w:t>Mac is high-trust owner console, not runtime dependency</w:t>
            </w:r>
          </w:p>
        </w:tc>
        <w:tc>
          <w:tcPr>
            <w:tcW w:type="dxa" w:w="1510"/>
            <w:shd w:fill="F7F9FB"/>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shd w:fill="F7F9FB"/>
            <w:tcMar>
              <w:top w:w="100" w:type="dxa"/>
              <w:start w:w="130" w:type="dxa"/>
              <w:bottom w:w="100" w:type="dxa"/>
              <w:end w:w="130" w:type="dxa"/>
            </w:tcMar>
            <w:vAlign w:val="center"/>
          </w:tcPr>
          <w:p>
            <w:pPr>
              <w:spacing w:after="0" w:line="259" w:lineRule="auto"/>
            </w:pPr>
            <w:r>
              <w:rPr>
                <w:rFonts w:ascii="Aptos" w:hAnsi="Aptos"/>
                <w:color w:val="1E252B"/>
                <w:sz w:val="14"/>
              </w:rPr>
              <w:t>Routine operation survives Mac absence; recovery-root handling becomes explicit.</w:t>
            </w:r>
          </w:p>
        </w:tc>
      </w:tr>
      <w:tr>
        <w:trPr>
          <w:cantSplit/>
        </w:trPr>
        <w:tc>
          <w:tcPr>
            <w:tcW w:type="dxa" w:w="1100"/>
            <w:tcMar>
              <w:top w:w="100" w:type="dxa"/>
              <w:start w:w="130" w:type="dxa"/>
              <w:bottom w:w="100" w:type="dxa"/>
              <w:end w:w="130" w:type="dxa"/>
            </w:tcMar>
            <w:vAlign w:val="center"/>
          </w:tcPr>
          <w:p>
            <w:pPr>
              <w:spacing w:after="0" w:line="259" w:lineRule="auto"/>
            </w:pPr>
            <w:r>
              <w:rPr>
                <w:rFonts w:ascii="Aptos" w:hAnsi="Aptos"/>
                <w:color w:val="1E252B"/>
                <w:sz w:val="14"/>
              </w:rPr>
              <w:t>ADR-003</w:t>
            </w:r>
          </w:p>
        </w:tc>
        <w:tc>
          <w:tcPr>
            <w:tcW w:type="dxa" w:w="3420"/>
            <w:tcMar>
              <w:top w:w="100" w:type="dxa"/>
              <w:start w:w="130" w:type="dxa"/>
              <w:bottom w:w="100" w:type="dxa"/>
              <w:end w:w="130" w:type="dxa"/>
            </w:tcMar>
            <w:vAlign w:val="center"/>
          </w:tcPr>
          <w:p>
            <w:pPr>
              <w:spacing w:after="0" w:line="259" w:lineRule="auto"/>
            </w:pPr>
            <w:r>
              <w:rPr>
                <w:rFonts w:ascii="Aptos" w:hAnsi="Aptos"/>
                <w:color w:val="1E252B"/>
                <w:sz w:val="14"/>
              </w:rPr>
              <w:t>ASUS and VPS distribute functions with single-writer fencing</w:t>
            </w:r>
          </w:p>
        </w:tc>
        <w:tc>
          <w:tcPr>
            <w:tcW w:type="dxa" w:w="1510"/>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tcMar>
              <w:top w:w="100" w:type="dxa"/>
              <w:start w:w="130" w:type="dxa"/>
              <w:bottom w:w="100" w:type="dxa"/>
              <w:end w:w="130" w:type="dxa"/>
            </w:tcMar>
            <w:vAlign w:val="center"/>
          </w:tcPr>
          <w:p>
            <w:pPr>
              <w:spacing w:after="0" w:line="259" w:lineRule="auto"/>
            </w:pPr>
            <w:r>
              <w:rPr>
                <w:rFonts w:ascii="Aptos" w:hAnsi="Aptos"/>
                <w:color w:val="1E252B"/>
                <w:sz w:val="14"/>
              </w:rPr>
              <w:t>Avoids unsafe two-node consensus; ambiguity favors safety over availability.</w:t>
            </w:r>
          </w:p>
        </w:tc>
      </w:tr>
      <w:tr>
        <w:trPr>
          <w:cantSplit/>
        </w:trPr>
        <w:tc>
          <w:tcPr>
            <w:tcW w:type="dxa" w:w="1100"/>
            <w:shd w:fill="F7F9FB"/>
            <w:tcMar>
              <w:top w:w="100" w:type="dxa"/>
              <w:start w:w="130" w:type="dxa"/>
              <w:bottom w:w="100" w:type="dxa"/>
              <w:end w:w="130" w:type="dxa"/>
            </w:tcMar>
            <w:vAlign w:val="center"/>
          </w:tcPr>
          <w:p>
            <w:pPr>
              <w:spacing w:after="0" w:line="259" w:lineRule="auto"/>
            </w:pPr>
            <w:r>
              <w:rPr>
                <w:rFonts w:ascii="Aptos" w:hAnsi="Aptos"/>
                <w:color w:val="1E252B"/>
                <w:sz w:val="14"/>
              </w:rPr>
              <w:t>ADR-004</w:t>
            </w:r>
          </w:p>
        </w:tc>
        <w:tc>
          <w:tcPr>
            <w:tcW w:type="dxa" w:w="3420"/>
            <w:shd w:fill="F7F9FB"/>
            <w:tcMar>
              <w:top w:w="100" w:type="dxa"/>
              <w:start w:w="130" w:type="dxa"/>
              <w:bottom w:w="100" w:type="dxa"/>
              <w:end w:w="130" w:type="dxa"/>
            </w:tcMar>
            <w:vAlign w:val="center"/>
          </w:tcPr>
          <w:p>
            <w:pPr>
              <w:spacing w:after="0" w:line="259" w:lineRule="auto"/>
            </w:pPr>
            <w:r>
              <w:rPr>
                <w:rFonts w:ascii="Aptos" w:hAnsi="Aptos"/>
                <w:color w:val="1E252B"/>
                <w:sz w:val="14"/>
              </w:rPr>
              <w:t>Rootless OCI containers are the default execution boundary</w:t>
            </w:r>
          </w:p>
        </w:tc>
        <w:tc>
          <w:tcPr>
            <w:tcW w:type="dxa" w:w="1510"/>
            <w:shd w:fill="F7F9FB"/>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shd w:fill="F7F9FB"/>
            <w:tcMar>
              <w:top w:w="100" w:type="dxa"/>
              <w:start w:w="130" w:type="dxa"/>
              <w:bottom w:w="100" w:type="dxa"/>
              <w:end w:w="130" w:type="dxa"/>
            </w:tcMar>
            <w:vAlign w:val="center"/>
          </w:tcPr>
          <w:p>
            <w:pPr>
              <w:spacing w:after="0" w:line="259" w:lineRule="auto"/>
            </w:pPr>
            <w:r>
              <w:rPr>
                <w:rFonts w:ascii="Aptos" w:hAnsi="Aptos"/>
                <w:color w:val="1E252B"/>
                <w:sz w:val="14"/>
              </w:rPr>
              <w:t>Strong fit for personal platform; VM escape hatch remains for exceptional isolation.</w:t>
            </w:r>
          </w:p>
        </w:tc>
      </w:tr>
      <w:tr>
        <w:trPr>
          <w:cantSplit/>
        </w:trPr>
        <w:tc>
          <w:tcPr>
            <w:tcW w:type="dxa" w:w="1100"/>
            <w:tcMar>
              <w:top w:w="100" w:type="dxa"/>
              <w:start w:w="130" w:type="dxa"/>
              <w:bottom w:w="100" w:type="dxa"/>
              <w:end w:w="130" w:type="dxa"/>
            </w:tcMar>
            <w:vAlign w:val="center"/>
          </w:tcPr>
          <w:p>
            <w:pPr>
              <w:spacing w:after="0" w:line="259" w:lineRule="auto"/>
            </w:pPr>
            <w:r>
              <w:rPr>
                <w:rFonts w:ascii="Aptos" w:hAnsi="Aptos"/>
                <w:color w:val="1E252B"/>
                <w:sz w:val="14"/>
              </w:rPr>
              <w:t>ADR-005</w:t>
            </w:r>
          </w:p>
        </w:tc>
        <w:tc>
          <w:tcPr>
            <w:tcW w:type="dxa" w:w="3420"/>
            <w:tcMar>
              <w:top w:w="100" w:type="dxa"/>
              <w:start w:w="130" w:type="dxa"/>
              <w:bottom w:w="100" w:type="dxa"/>
              <w:end w:w="130" w:type="dxa"/>
            </w:tcMar>
            <w:vAlign w:val="center"/>
          </w:tcPr>
          <w:p>
            <w:pPr>
              <w:spacing w:after="0" w:line="259" w:lineRule="auto"/>
            </w:pPr>
            <w:r>
              <w:rPr>
                <w:rFonts w:ascii="Aptos" w:hAnsi="Aptos"/>
                <w:color w:val="1E252B"/>
                <w:sz w:val="14"/>
              </w:rPr>
              <w:t>Autonomy spans engineering, applications, infrastructure, and incidents</w:t>
            </w:r>
          </w:p>
        </w:tc>
        <w:tc>
          <w:tcPr>
            <w:tcW w:type="dxa" w:w="1510"/>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tcMar>
              <w:top w:w="100" w:type="dxa"/>
              <w:start w:w="130" w:type="dxa"/>
              <w:bottom w:w="100" w:type="dxa"/>
              <w:end w:w="130" w:type="dxa"/>
            </w:tcMar>
            <w:vAlign w:val="center"/>
          </w:tcPr>
          <w:p>
            <w:pPr>
              <w:spacing w:after="0" w:line="259" w:lineRule="auto"/>
            </w:pPr>
            <w:r>
              <w:rPr>
                <w:rFonts w:ascii="Aptos" w:hAnsi="Aptos"/>
                <w:color w:val="1E252B"/>
                <w:sz w:val="14"/>
              </w:rPr>
              <w:t>One policy/evidence model must cover broad action domains.</w:t>
            </w:r>
          </w:p>
        </w:tc>
      </w:tr>
      <w:tr>
        <w:trPr>
          <w:cantSplit/>
        </w:trPr>
        <w:tc>
          <w:tcPr>
            <w:tcW w:type="dxa" w:w="1100"/>
            <w:shd w:fill="F7F9FB"/>
            <w:tcMar>
              <w:top w:w="100" w:type="dxa"/>
              <w:start w:w="130" w:type="dxa"/>
              <w:bottom w:w="100" w:type="dxa"/>
              <w:end w:w="130" w:type="dxa"/>
            </w:tcMar>
            <w:vAlign w:val="center"/>
          </w:tcPr>
          <w:p>
            <w:pPr>
              <w:spacing w:after="0" w:line="259" w:lineRule="auto"/>
            </w:pPr>
            <w:r>
              <w:rPr>
                <w:rFonts w:ascii="Aptos" w:hAnsi="Aptos"/>
                <w:color w:val="1E252B"/>
                <w:sz w:val="14"/>
              </w:rPr>
              <w:t>ADR-006</w:t>
            </w:r>
          </w:p>
        </w:tc>
        <w:tc>
          <w:tcPr>
            <w:tcW w:type="dxa" w:w="3420"/>
            <w:shd w:fill="F7F9FB"/>
            <w:tcMar>
              <w:top w:w="100" w:type="dxa"/>
              <w:start w:w="130" w:type="dxa"/>
              <w:bottom w:w="100" w:type="dxa"/>
              <w:end w:w="130" w:type="dxa"/>
            </w:tcMar>
            <w:vAlign w:val="center"/>
          </w:tcPr>
          <w:p>
            <w:pPr>
              <w:spacing w:after="0" w:line="259" w:lineRule="auto"/>
            </w:pPr>
            <w:r>
              <w:rPr>
                <w:rFonts w:ascii="Aptos" w:hAnsi="Aptos"/>
                <w:color w:val="1E252B"/>
                <w:sz w:val="14"/>
              </w:rPr>
              <w:t>Only irreversible actions require mandatory owner approval</w:t>
            </w:r>
          </w:p>
        </w:tc>
        <w:tc>
          <w:tcPr>
            <w:tcW w:type="dxa" w:w="1510"/>
            <w:shd w:fill="F7F9FB"/>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shd w:fill="F7F9FB"/>
            <w:tcMar>
              <w:top w:w="100" w:type="dxa"/>
              <w:start w:w="130" w:type="dxa"/>
              <w:bottom w:w="100" w:type="dxa"/>
              <w:end w:w="130" w:type="dxa"/>
            </w:tcMar>
            <w:vAlign w:val="center"/>
          </w:tcPr>
          <w:p>
            <w:pPr>
              <w:spacing w:after="0" w:line="259" w:lineRule="auto"/>
            </w:pPr>
            <w:r>
              <w:rPr>
                <w:rFonts w:ascii="Aptos" w:hAnsi="Aptos"/>
                <w:color w:val="1E252B"/>
                <w:sz w:val="14"/>
              </w:rPr>
              <w:t>High autonomy depends on conservative irreversibility classification and proven rollback.</w:t>
            </w:r>
          </w:p>
        </w:tc>
      </w:tr>
      <w:tr>
        <w:trPr>
          <w:cantSplit/>
        </w:trPr>
        <w:tc>
          <w:tcPr>
            <w:tcW w:type="dxa" w:w="1100"/>
            <w:tcMar>
              <w:top w:w="100" w:type="dxa"/>
              <w:start w:w="130" w:type="dxa"/>
              <w:bottom w:w="100" w:type="dxa"/>
              <w:end w:w="130" w:type="dxa"/>
            </w:tcMar>
            <w:vAlign w:val="center"/>
          </w:tcPr>
          <w:p>
            <w:pPr>
              <w:spacing w:after="0" w:line="259" w:lineRule="auto"/>
            </w:pPr>
            <w:r>
              <w:rPr>
                <w:rFonts w:ascii="Aptos" w:hAnsi="Aptos"/>
                <w:color w:val="1E252B"/>
                <w:sz w:val="14"/>
              </w:rPr>
              <w:t>ADR-007</w:t>
            </w:r>
          </w:p>
        </w:tc>
        <w:tc>
          <w:tcPr>
            <w:tcW w:type="dxa" w:w="3420"/>
            <w:tcMar>
              <w:top w:w="100" w:type="dxa"/>
              <w:start w:w="130" w:type="dxa"/>
              <w:bottom w:w="100" w:type="dxa"/>
              <w:end w:w="130" w:type="dxa"/>
            </w:tcMar>
            <w:vAlign w:val="center"/>
          </w:tcPr>
          <w:p>
            <w:pPr>
              <w:spacing w:after="0" w:line="259" w:lineRule="auto"/>
            </w:pPr>
            <w:r>
              <w:rPr>
                <w:rFonts w:ascii="Aptos" w:hAnsi="Aptos"/>
                <w:color w:val="1E252B"/>
                <w:sz w:val="14"/>
              </w:rPr>
              <w:t>Critical evidence is signed and tamper-resistant</w:t>
            </w:r>
          </w:p>
        </w:tc>
        <w:tc>
          <w:tcPr>
            <w:tcW w:type="dxa" w:w="1510"/>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tcMar>
              <w:top w:w="100" w:type="dxa"/>
              <w:start w:w="130" w:type="dxa"/>
              <w:bottom w:w="100" w:type="dxa"/>
              <w:end w:w="130" w:type="dxa"/>
            </w:tcMar>
            <w:vAlign w:val="center"/>
          </w:tcPr>
          <w:p>
            <w:pPr>
              <w:spacing w:after="0" w:line="259" w:lineRule="auto"/>
            </w:pPr>
            <w:r>
              <w:rPr>
                <w:rFonts w:ascii="Aptos" w:hAnsi="Aptos"/>
                <w:color w:val="1E252B"/>
                <w:sz w:val="14"/>
              </w:rPr>
              <w:t>Evidence storage becomes part of availability and recovery design.</w:t>
            </w:r>
          </w:p>
        </w:tc>
      </w:tr>
      <w:tr>
        <w:trPr>
          <w:cantSplit/>
        </w:trPr>
        <w:tc>
          <w:tcPr>
            <w:tcW w:type="dxa" w:w="1100"/>
            <w:shd w:fill="F7F9FB"/>
            <w:tcMar>
              <w:top w:w="100" w:type="dxa"/>
              <w:start w:w="130" w:type="dxa"/>
              <w:bottom w:w="100" w:type="dxa"/>
              <w:end w:w="130" w:type="dxa"/>
            </w:tcMar>
            <w:vAlign w:val="center"/>
          </w:tcPr>
          <w:p>
            <w:pPr>
              <w:spacing w:after="0" w:line="259" w:lineRule="auto"/>
            </w:pPr>
            <w:r>
              <w:rPr>
                <w:rFonts w:ascii="Aptos" w:hAnsi="Aptos"/>
                <w:color w:val="1E252B"/>
                <w:sz w:val="14"/>
              </w:rPr>
              <w:t>ADR-008</w:t>
            </w:r>
          </w:p>
        </w:tc>
        <w:tc>
          <w:tcPr>
            <w:tcW w:type="dxa" w:w="3420"/>
            <w:shd w:fill="F7F9FB"/>
            <w:tcMar>
              <w:top w:w="100" w:type="dxa"/>
              <w:start w:w="130" w:type="dxa"/>
              <w:bottom w:w="100" w:type="dxa"/>
              <w:end w:w="130" w:type="dxa"/>
            </w:tcMar>
            <w:vAlign w:val="center"/>
          </w:tcPr>
          <w:p>
            <w:pPr>
              <w:spacing w:after="0" w:line="259" w:lineRule="auto"/>
            </w:pPr>
            <w:r>
              <w:rPr>
                <w:rFonts w:ascii="Aptos" w:hAnsi="Aptos"/>
                <w:color w:val="1E252B"/>
                <w:sz w:val="14"/>
              </w:rPr>
              <w:t>GitHub outage permits cached approved automation only</w:t>
            </w:r>
          </w:p>
        </w:tc>
        <w:tc>
          <w:tcPr>
            <w:tcW w:type="dxa" w:w="1510"/>
            <w:shd w:fill="F7F9FB"/>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shd w:fill="F7F9FB"/>
            <w:tcMar>
              <w:top w:w="100" w:type="dxa"/>
              <w:start w:w="130" w:type="dxa"/>
              <w:bottom w:w="100" w:type="dxa"/>
              <w:end w:w="130" w:type="dxa"/>
            </w:tcMar>
            <w:vAlign w:val="center"/>
          </w:tcPr>
          <w:p>
            <w:pPr>
              <w:spacing w:after="0" w:line="259" w:lineRule="auto"/>
            </w:pPr>
            <w:r>
              <w:rPr>
                <w:rFonts w:ascii="Aptos" w:hAnsi="Aptos"/>
                <w:color w:val="1E252B"/>
                <w:sz w:val="14"/>
              </w:rPr>
              <w:t>Continuity without accepting new unverified intent.</w:t>
            </w:r>
          </w:p>
        </w:tc>
      </w:tr>
      <w:tr>
        <w:trPr>
          <w:cantSplit/>
        </w:trPr>
        <w:tc>
          <w:tcPr>
            <w:tcW w:type="dxa" w:w="1100"/>
            <w:tcMar>
              <w:top w:w="100" w:type="dxa"/>
              <w:start w:w="130" w:type="dxa"/>
              <w:bottom w:w="100" w:type="dxa"/>
              <w:end w:w="130" w:type="dxa"/>
            </w:tcMar>
            <w:vAlign w:val="center"/>
          </w:tcPr>
          <w:p>
            <w:pPr>
              <w:spacing w:after="0" w:line="259" w:lineRule="auto"/>
            </w:pPr>
            <w:r>
              <w:rPr>
                <w:rFonts w:ascii="Aptos" w:hAnsi="Aptos"/>
                <w:color w:val="1E252B"/>
                <w:sz w:val="14"/>
              </w:rPr>
              <w:t>ADR-009</w:t>
            </w:r>
          </w:p>
        </w:tc>
        <w:tc>
          <w:tcPr>
            <w:tcW w:type="dxa" w:w="3420"/>
            <w:tcMar>
              <w:top w:w="100" w:type="dxa"/>
              <w:start w:w="130" w:type="dxa"/>
              <w:bottom w:w="100" w:type="dxa"/>
              <w:end w:w="130" w:type="dxa"/>
            </w:tcMar>
            <w:vAlign w:val="center"/>
          </w:tcPr>
          <w:p>
            <w:pPr>
              <w:spacing w:after="0" w:line="259" w:lineRule="auto"/>
            </w:pPr>
            <w:r>
              <w:rPr>
                <w:rFonts w:ascii="Aptos" w:hAnsi="Aptos"/>
                <w:color w:val="1E252B"/>
                <w:sz w:val="14"/>
              </w:rPr>
              <w:t>Development, testing, and operational trust are isolated</w:t>
            </w:r>
          </w:p>
        </w:tc>
        <w:tc>
          <w:tcPr>
            <w:tcW w:type="dxa" w:w="1510"/>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tcMar>
              <w:top w:w="100" w:type="dxa"/>
              <w:start w:w="130" w:type="dxa"/>
              <w:bottom w:w="100" w:type="dxa"/>
              <w:end w:w="130" w:type="dxa"/>
            </w:tcMar>
            <w:vAlign w:val="center"/>
          </w:tcPr>
          <w:p>
            <w:pPr>
              <w:spacing w:after="0" w:line="259" w:lineRule="auto"/>
            </w:pPr>
            <w:r>
              <w:rPr>
                <w:rFonts w:ascii="Aptos" w:hAnsi="Aptos"/>
                <w:color w:val="1E252B"/>
                <w:sz w:val="14"/>
              </w:rPr>
              <w:t>Promotion and credential boundaries are explicit.</w:t>
            </w:r>
          </w:p>
        </w:tc>
      </w:tr>
      <w:tr>
        <w:trPr>
          <w:cantSplit/>
        </w:trPr>
        <w:tc>
          <w:tcPr>
            <w:tcW w:type="dxa" w:w="1100"/>
            <w:shd w:fill="F7F9FB"/>
            <w:tcMar>
              <w:top w:w="100" w:type="dxa"/>
              <w:start w:w="130" w:type="dxa"/>
              <w:bottom w:w="100" w:type="dxa"/>
              <w:end w:w="130" w:type="dxa"/>
            </w:tcMar>
            <w:vAlign w:val="center"/>
          </w:tcPr>
          <w:p>
            <w:pPr>
              <w:spacing w:after="0" w:line="259" w:lineRule="auto"/>
            </w:pPr>
            <w:r>
              <w:rPr>
                <w:rFonts w:ascii="Aptos" w:hAnsi="Aptos"/>
                <w:color w:val="1E252B"/>
                <w:sz w:val="14"/>
              </w:rPr>
              <w:t>ADR-010</w:t>
            </w:r>
          </w:p>
        </w:tc>
        <w:tc>
          <w:tcPr>
            <w:tcW w:type="dxa" w:w="3420"/>
            <w:shd w:fill="F7F9FB"/>
            <w:tcMar>
              <w:top w:w="100" w:type="dxa"/>
              <w:start w:w="130" w:type="dxa"/>
              <w:bottom w:w="100" w:type="dxa"/>
              <w:end w:w="130" w:type="dxa"/>
            </w:tcMar>
            <w:vAlign w:val="center"/>
          </w:tcPr>
          <w:p>
            <w:pPr>
              <w:spacing w:after="0" w:line="259" w:lineRule="auto"/>
            </w:pPr>
            <w:r>
              <w:rPr>
                <w:rFonts w:ascii="Aptos" w:hAnsi="Aptos"/>
                <w:color w:val="1E252B"/>
                <w:sz w:val="14"/>
              </w:rPr>
              <w:t>Architecture acceptance is separate from implementation proof</w:t>
            </w:r>
          </w:p>
        </w:tc>
        <w:tc>
          <w:tcPr>
            <w:tcW w:type="dxa" w:w="1510"/>
            <w:shd w:fill="F7F9FB"/>
            <w:tcMar>
              <w:top w:w="100" w:type="dxa"/>
              <w:start w:w="130" w:type="dxa"/>
              <w:bottom w:w="100" w:type="dxa"/>
              <w:end w:w="130" w:type="dxa"/>
            </w:tcMar>
            <w:vAlign w:val="center"/>
          </w:tcPr>
          <w:p>
            <w:pPr>
              <w:spacing w:after="0" w:line="259" w:lineRule="auto"/>
            </w:pPr>
            <w:r>
              <w:rPr>
                <w:rFonts w:ascii="Aptos" w:hAnsi="Aptos"/>
                <w:color w:val="1E252B"/>
                <w:sz w:val="14"/>
              </w:rPr>
              <w:t>Accepted in baseline</w:t>
            </w:r>
          </w:p>
        </w:tc>
        <w:tc>
          <w:tcPr>
            <w:tcW w:type="dxa" w:w="3330"/>
            <w:shd w:fill="F7F9FB"/>
            <w:tcMar>
              <w:top w:w="100" w:type="dxa"/>
              <w:start w:w="130" w:type="dxa"/>
              <w:bottom w:w="100" w:type="dxa"/>
              <w:end w:w="130" w:type="dxa"/>
            </w:tcMar>
            <w:vAlign w:val="center"/>
          </w:tcPr>
          <w:p>
            <w:pPr>
              <w:spacing w:after="0" w:line="259" w:lineRule="auto"/>
            </w:pPr>
            <w:r>
              <w:rPr>
                <w:rFonts w:ascii="Aptos" w:hAnsi="Aptos"/>
                <w:color w:val="1E252B"/>
                <w:sz w:val="14"/>
              </w:rPr>
              <w:t>This package can be approved before live deployment; later stages must produce operational evidence.</w:t>
            </w:r>
          </w:p>
        </w:tc>
      </w:tr>
    </w:tbl>
    <w:p>
      <w:pPr>
        <w:spacing w:after="40"/>
      </w:pPr>
    </w:p>
    <w:p>
      <w:pPr>
        <w:pStyle w:val="Heading2"/>
        <w:keepNext/>
      </w:pPr>
      <w:r>
        <w:t>15.1 Decisions intentionally deferred to implementation ADRs</w:t>
      </w:r>
    </w:p>
    <w:p>
      <w:pPr>
        <w:pStyle w:val="NyvoraList"/>
        <w:numPr>
          <w:ilvl w:val="0"/>
          <w:numId w:val="10"/>
        </w:numPr>
      </w:pPr>
      <w:r>
        <w:rPr>
          <w:rFonts w:ascii="Aptos" w:hAnsi="Aptos"/>
          <w:color w:val="1E252B"/>
        </w:rPr>
        <w:t xml:space="preserve"> Exact rootless OCI runtime and orchestration implementation.</w:t>
      </w:r>
    </w:p>
    <w:p>
      <w:pPr>
        <w:pStyle w:val="NyvoraList"/>
        <w:numPr>
          <w:ilvl w:val="0"/>
          <w:numId w:val="10"/>
        </w:numPr>
      </w:pPr>
      <w:r>
        <w:rPr>
          <w:rFonts w:ascii="Aptos" w:hAnsi="Aptos"/>
          <w:color w:val="1E252B"/>
        </w:rPr>
        <w:t xml:space="preserve"> Exact private overlay/VPN and public ingress products.</w:t>
      </w:r>
    </w:p>
    <w:p>
      <w:pPr>
        <w:pStyle w:val="NyvoraList"/>
        <w:numPr>
          <w:ilvl w:val="0"/>
          <w:numId w:val="10"/>
        </w:numPr>
      </w:pPr>
      <w:r>
        <w:rPr>
          <w:rFonts w:ascii="Aptos" w:hAnsi="Aptos"/>
          <w:color w:val="1E252B"/>
        </w:rPr>
        <w:t xml:space="preserve"> Exact secrets backend and hardware/offline recovery-root mechanism.</w:t>
      </w:r>
    </w:p>
    <w:p>
      <w:pPr>
        <w:pStyle w:val="NyvoraList"/>
        <w:numPr>
          <w:ilvl w:val="0"/>
          <w:numId w:val="10"/>
        </w:numPr>
      </w:pPr>
      <w:r>
        <w:rPr>
          <w:rFonts w:ascii="Aptos" w:hAnsi="Aptos"/>
          <w:color w:val="1E252B"/>
        </w:rPr>
        <w:t xml:space="preserve"> Exact immutable evidence-retention provider and retention durations.</w:t>
      </w:r>
    </w:p>
    <w:p>
      <w:pPr>
        <w:pStyle w:val="NyvoraList"/>
        <w:numPr>
          <w:ilvl w:val="0"/>
          <w:numId w:val="10"/>
        </w:numPr>
      </w:pPr>
      <w:r>
        <w:rPr>
          <w:rFonts w:ascii="Aptos" w:hAnsi="Aptos"/>
          <w:color w:val="1E252B"/>
        </w:rPr>
        <w:t xml:space="preserve"> Exact PostgreSQL backup/replication and NATS deployment topology.</w:t>
      </w:r>
    </w:p>
    <w:p>
      <w:pPr>
        <w:pStyle w:val="NyvoraList"/>
        <w:numPr>
          <w:ilvl w:val="0"/>
          <w:numId w:val="10"/>
        </w:numPr>
      </w:pPr>
      <w:r>
        <w:rPr>
          <w:rFonts w:ascii="Aptos" w:hAnsi="Aptos"/>
          <w:color w:val="1E252B"/>
        </w:rPr>
        <w:t xml:space="preserve"> Exact Console framework, agent protocol, and policy-engine product.</w:t>
      </w:r>
    </w:p>
    <w:p>
      <w:pPr/>
      <w:r>
        <w:rPr>
          <w:rFonts w:ascii="Aptos" w:hAnsi="Aptos"/>
          <w:color w:val="1E252B"/>
        </w:rPr>
        <w:t>These are product decisions, not permission to weaken the baseline's trust, failure, or evidence semantics.</w:t>
      </w:r>
    </w:p>
    <w:p>
      <w:pPr>
        <w:pStyle w:val="Heading1"/>
        <w:keepNext/>
      </w:pPr>
      <w:r>
        <w:t>16. Relationship to the prior Foundation / NC-M3 plan</w:t>
      </w:r>
    </w:p>
    <w:p>
      <w:pPr>
        <w:pStyle w:val="Heading2"/>
        <w:keepNext/>
      </w:pPr>
      <w:r>
        <w:t>16.1 Preserved concepts</w:t>
      </w:r>
    </w:p>
    <w:p>
      <w:pPr>
        <w:pStyle w:val="NyvoraList"/>
        <w:numPr>
          <w:ilvl w:val="0"/>
          <w:numId w:val="10"/>
        </w:numPr>
      </w:pPr>
      <w:r>
        <w:rPr>
          <w:rFonts w:ascii="Aptos" w:hAnsi="Aptos"/>
          <w:color w:val="1E252B"/>
        </w:rPr>
        <w:t xml:space="preserve"> Three-node responsibility split: Mac owner plane, ASUS supporting services and compute, VPS edge/relay/recovery role.</w:t>
      </w:r>
    </w:p>
    <w:p>
      <w:pPr>
        <w:pStyle w:val="NyvoraList"/>
        <w:numPr>
          <w:ilvl w:val="0"/>
          <w:numId w:val="10"/>
        </w:numPr>
      </w:pPr>
      <w:r>
        <w:rPr>
          <w:rFonts w:ascii="Aptos" w:hAnsi="Aptos"/>
          <w:color w:val="1E252B"/>
        </w:rPr>
        <w:t xml:space="preserve"> PostgreSQL as runtime state and NATS as transport/replay, neither independently authoritative.</w:t>
      </w:r>
    </w:p>
    <w:p>
      <w:pPr>
        <w:pStyle w:val="NyvoraList"/>
        <w:numPr>
          <w:ilvl w:val="0"/>
          <w:numId w:val="10"/>
        </w:numPr>
      </w:pPr>
      <w:r>
        <w:rPr>
          <w:rFonts w:ascii="Aptos" w:hAnsi="Aptos"/>
          <w:color w:val="1E252B"/>
        </w:rPr>
        <w:t xml:space="preserve"> Rootless execution and explicit public-edge separation.</w:t>
      </w:r>
    </w:p>
    <w:p>
      <w:pPr>
        <w:pStyle w:val="NyvoraList"/>
        <w:numPr>
          <w:ilvl w:val="0"/>
          <w:numId w:val="10"/>
        </w:numPr>
      </w:pPr>
      <w:r>
        <w:rPr>
          <w:rFonts w:ascii="Aptos" w:hAnsi="Aptos"/>
          <w:color w:val="1E252B"/>
        </w:rPr>
        <w:t xml:space="preserve"> Delegated continuity bounded by policy and reconciliation.</w:t>
      </w:r>
    </w:p>
    <w:p>
      <w:pPr>
        <w:pStyle w:val="NyvoraList"/>
        <w:numPr>
          <w:ilvl w:val="0"/>
          <w:numId w:val="10"/>
        </w:numPr>
      </w:pPr>
      <w:r>
        <w:rPr>
          <w:rFonts w:ascii="Aptos" w:hAnsi="Aptos"/>
          <w:color w:val="1E252B"/>
        </w:rPr>
        <w:t xml:space="preserve"> Evidence, rollback, safety boundaries, and staged acceptance.</w:t>
      </w:r>
    </w:p>
    <w:p>
      <w:pPr>
        <w:pStyle w:val="Heading2"/>
        <w:keepNext/>
      </w:pPr>
      <w:r>
        <w:t>16.2 Superseded concepts</w:t>
      </w:r>
    </w:p>
    <w:p>
      <w:pPr>
        <w:pStyle w:val="NyvoraList"/>
        <w:numPr>
          <w:ilvl w:val="0"/>
          <w:numId w:val="10"/>
        </w:numPr>
      </w:pPr>
      <w:r>
        <w:rPr>
          <w:rFonts w:ascii="Aptos" w:hAnsi="Aptos"/>
          <w:color w:val="1E252B"/>
        </w:rPr>
        <w:t xml:space="preserve"> Radicle as a required repository collaboration, replication, or publication mechanism.</w:t>
      </w:r>
    </w:p>
    <w:p>
      <w:pPr>
        <w:pStyle w:val="NyvoraList"/>
        <w:numPr>
          <w:ilvl w:val="0"/>
          <w:numId w:val="10"/>
        </w:numPr>
      </w:pPr>
      <w:r>
        <w:rPr>
          <w:rFonts w:ascii="Aptos" w:hAnsi="Aptos"/>
          <w:color w:val="1E252B"/>
        </w:rPr>
        <w:t xml:space="preserve"> The Mac as the sole always-online runtime authorizer for every routine action.</w:t>
      </w:r>
    </w:p>
    <w:p>
      <w:pPr>
        <w:pStyle w:val="NyvoraList"/>
        <w:numPr>
          <w:ilvl w:val="0"/>
          <w:numId w:val="10"/>
        </w:numPr>
      </w:pPr>
      <w:r>
        <w:rPr>
          <w:rFonts w:ascii="Aptos" w:hAnsi="Aptos"/>
          <w:color w:val="1E252B"/>
        </w:rPr>
        <w:t xml:space="preserve"> A bundled NC-M3 milestone that mixes architecture, repository preparation, live deployment, and public-edge acceptance.</w:t>
      </w:r>
    </w:p>
    <w:p>
      <w:pPr>
        <w:pStyle w:val="NyvoraList"/>
        <w:numPr>
          <w:ilvl w:val="0"/>
          <w:numId w:val="10"/>
        </w:numPr>
      </w:pPr>
      <w:r>
        <w:rPr>
          <w:rFonts w:ascii="Aptos" w:hAnsi="Aptos"/>
          <w:color w:val="1E252B"/>
        </w:rPr>
        <w:t xml:space="preserve"> Any implication that a locally published patch, an inventory announcement, or a runtime database proves off-node continuity.</w:t>
      </w:r>
    </w:p>
    <w:p>
      <w:pPr>
        <w:pStyle w:val="Heading2"/>
        <w:keepNext/>
      </w:pPr>
      <w:r>
        <w:t>16.3 New interpretation</w:t>
      </w:r>
    </w:p>
    <w:p>
      <w:pPr/>
      <w:r>
        <w:rPr>
          <w:rFonts w:ascii="Aptos" w:hAnsi="Aptos"/>
          <w:color w:val="1E252B"/>
        </w:rPr>
        <w:t>The new baseline preserves owner sovereignty while making GitHub the durable desired-state authority and making ASUS/VPS responsible for bounded always-on execution. This is a controlled evolution of the Foundation concept, not a rejection of its useful topology and safety work.</w:t>
      </w:r>
    </w:p>
    <w:p>
      <w:pPr>
        <w:pStyle w:val="Heading1"/>
        <w:keepNext/>
      </w:pPr>
      <w:r>
        <w:t>17. Implementation roadmap</w:t>
      </w:r>
    </w:p>
    <w:p>
      <w:pPr/>
      <w:r>
        <w:rPr>
          <w:rFonts w:ascii="Aptos" w:hAnsi="Aptos"/>
          <w:color w:val="1E252B"/>
        </w:rPr>
        <w:t>The AB-0–AB-8 roadmap is adopted as a sequence, but each stage still requires its own authority, evidence, and exit decision. No stage inherits a PASS from this document.</w:t>
      </w:r>
    </w:p>
    <w:tbl>
      <w:tblPr>
        <w:tblStyle w:val="TableGrid"/>
        <w:tblW w:type="dxa" w:w="9360"/>
        <w:tblLayout w:type="fixed"/>
        <w:tblLook w:firstColumn="1" w:firstRow="1" w:lastColumn="0" w:lastRow="0" w:noHBand="0" w:noVBand="1" w:val="04A0"/>
        <w:jc w:val="left"/>
        <w:tblInd w:w="130" w:type="dxa"/>
      </w:tblPr>
      <w:tblGrid>
        <w:gridCol w:w="900"/>
        <w:gridCol w:w="1550"/>
        <w:gridCol w:w="4250"/>
        <w:gridCol w:w="2660"/>
      </w:tblGrid>
      <w:tr>
        <w:trPr>
          <w:tblHeader w:val="true"/>
          <w:cantSplit/>
        </w:trPr>
        <w:tc>
          <w:tcPr>
            <w:tcW w:type="dxa" w:w="900"/>
            <w:tcMar>
              <w:top w:w="100" w:type="dxa"/>
              <w:start w:w="130" w:type="dxa"/>
              <w:bottom w:w="100" w:type="dxa"/>
              <w:end w:w="130" w:type="dxa"/>
            </w:tcMar>
            <w:vAlign w:val="center"/>
            <w:shd w:fill="14213D"/>
          </w:tcPr>
          <w:p>
            <w:pPr>
              <w:spacing w:after="0"/>
              <w:jc w:val="left"/>
            </w:pPr>
            <w:r>
              <w:rPr>
                <w:rFonts w:ascii="Aptos" w:hAnsi="Aptos"/>
                <w:b/>
                <w:color w:val="FFFFFF"/>
                <w:sz w:val="16"/>
              </w:rPr>
              <w:t>Stage</w:t>
            </w:r>
          </w:p>
        </w:tc>
        <w:tc>
          <w:tcPr>
            <w:tcW w:type="dxa" w:w="1550"/>
            <w:tcMar>
              <w:top w:w="100" w:type="dxa"/>
              <w:start w:w="130" w:type="dxa"/>
              <w:bottom w:w="100" w:type="dxa"/>
              <w:end w:w="130" w:type="dxa"/>
            </w:tcMar>
            <w:vAlign w:val="center"/>
            <w:shd w:fill="14213D"/>
          </w:tcPr>
          <w:p>
            <w:pPr>
              <w:spacing w:after="0"/>
              <w:jc w:val="left"/>
            </w:pPr>
            <w:r>
              <w:rPr>
                <w:rFonts w:ascii="Aptos" w:hAnsi="Aptos"/>
                <w:b/>
                <w:color w:val="FFFFFF"/>
                <w:sz w:val="16"/>
              </w:rPr>
              <w:t>Theme</w:t>
            </w:r>
          </w:p>
        </w:tc>
        <w:tc>
          <w:tcPr>
            <w:tcW w:type="dxa" w:w="4250"/>
            <w:tcMar>
              <w:top w:w="100" w:type="dxa"/>
              <w:start w:w="130" w:type="dxa"/>
              <w:bottom w:w="100" w:type="dxa"/>
              <w:end w:w="130" w:type="dxa"/>
            </w:tcMar>
            <w:vAlign w:val="center"/>
            <w:shd w:fill="14213D"/>
          </w:tcPr>
          <w:p>
            <w:pPr>
              <w:spacing w:after="0"/>
              <w:jc w:val="left"/>
            </w:pPr>
            <w:r>
              <w:rPr>
                <w:rFonts w:ascii="Aptos" w:hAnsi="Aptos"/>
                <w:b/>
                <w:color w:val="FFFFFF"/>
                <w:sz w:val="16"/>
              </w:rPr>
              <w:t>Scope</w:t>
            </w:r>
          </w:p>
        </w:tc>
        <w:tc>
          <w:tcPr>
            <w:tcW w:type="dxa" w:w="2660"/>
            <w:tcMar>
              <w:top w:w="100" w:type="dxa"/>
              <w:start w:w="130" w:type="dxa"/>
              <w:bottom w:w="100" w:type="dxa"/>
              <w:end w:w="130" w:type="dxa"/>
            </w:tcMar>
            <w:vAlign w:val="center"/>
            <w:shd w:fill="14213D"/>
          </w:tcPr>
          <w:p>
            <w:pPr>
              <w:spacing w:after="0"/>
              <w:jc w:val="left"/>
            </w:pPr>
            <w:r>
              <w:rPr>
                <w:rFonts w:ascii="Aptos" w:hAnsi="Aptos"/>
                <w:b/>
                <w:color w:val="FFFFFF"/>
                <w:sz w:val="16"/>
              </w:rPr>
              <w:t>Exit evidence</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4"/>
              </w:rPr>
              <w:t>AB-0</w:t>
            </w:r>
          </w:p>
        </w:tc>
        <w:tc>
          <w:tcPr>
            <w:tcW w:type="dxa" w:w="1550"/>
            <w:tcMar>
              <w:top w:w="100" w:type="dxa"/>
              <w:start w:w="130" w:type="dxa"/>
              <w:bottom w:w="100" w:type="dxa"/>
              <w:end w:w="130" w:type="dxa"/>
            </w:tcMar>
            <w:vAlign w:val="center"/>
          </w:tcPr>
          <w:p>
            <w:pPr>
              <w:spacing w:after="0" w:line="259" w:lineRule="auto"/>
            </w:pPr>
            <w:r>
              <w:rPr>
                <w:rFonts w:ascii="Aptos" w:hAnsi="Aptos"/>
                <w:color w:val="1E252B"/>
                <w:sz w:val="14"/>
              </w:rPr>
              <w:t>Baseline adoption</w:t>
            </w:r>
          </w:p>
        </w:tc>
        <w:tc>
          <w:tcPr>
            <w:tcW w:type="dxa" w:w="4250"/>
            <w:tcMar>
              <w:top w:w="100" w:type="dxa"/>
              <w:start w:w="130" w:type="dxa"/>
              <w:bottom w:w="100" w:type="dxa"/>
              <w:end w:w="130" w:type="dxa"/>
            </w:tcMar>
            <w:vAlign w:val="center"/>
          </w:tcPr>
          <w:p>
            <w:pPr>
              <w:spacing w:after="0" w:line="259" w:lineRule="auto"/>
            </w:pPr>
            <w:r>
              <w:rPr>
                <w:rFonts w:ascii="Aptos" w:hAnsi="Aptos"/>
                <w:color w:val="1E252B"/>
                <w:sz w:val="14"/>
              </w:rPr>
              <w:t>Commit package, diagrams, ADRs, schemas, and supersession note; establish architecture change process.</w:t>
            </w:r>
          </w:p>
        </w:tc>
        <w:tc>
          <w:tcPr>
            <w:tcW w:type="dxa" w:w="2660"/>
            <w:tcMar>
              <w:top w:w="100" w:type="dxa"/>
              <w:start w:w="130" w:type="dxa"/>
              <w:bottom w:w="100" w:type="dxa"/>
              <w:end w:w="130" w:type="dxa"/>
            </w:tcMar>
            <w:vAlign w:val="center"/>
          </w:tcPr>
          <w:p>
            <w:pPr>
              <w:spacing w:after="0" w:line="259" w:lineRule="auto"/>
            </w:pPr>
            <w:r>
              <w:rPr>
                <w:rFonts w:ascii="Aptos" w:hAnsi="Aptos"/>
                <w:color w:val="1E252B"/>
                <w:sz w:val="14"/>
              </w:rPr>
              <w:t>Approved baseline in protected GitHub default branch.</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4"/>
              </w:rPr>
              <w:t>AB-1</w:t>
            </w:r>
          </w:p>
        </w:tc>
        <w:tc>
          <w:tcPr>
            <w:tcW w:type="dxa" w:w="1550"/>
            <w:shd w:fill="F7F9FB"/>
            <w:tcMar>
              <w:top w:w="100" w:type="dxa"/>
              <w:start w:w="130" w:type="dxa"/>
              <w:bottom w:w="100" w:type="dxa"/>
              <w:end w:w="130" w:type="dxa"/>
            </w:tcMar>
            <w:vAlign w:val="center"/>
          </w:tcPr>
          <w:p>
            <w:pPr>
              <w:spacing w:after="0" w:line="259" w:lineRule="auto"/>
            </w:pPr>
            <w:r>
              <w:rPr>
                <w:rFonts w:ascii="Aptos" w:hAnsi="Aptos"/>
                <w:color w:val="1E252B"/>
                <w:sz w:val="14"/>
              </w:rPr>
              <w:t>GitHub governance</w:t>
            </w:r>
          </w:p>
        </w:tc>
        <w:tc>
          <w:tcPr>
            <w:tcW w:type="dxa" w:w="4250"/>
            <w:shd w:fill="F7F9FB"/>
            <w:tcMar>
              <w:top w:w="100" w:type="dxa"/>
              <w:start w:w="130" w:type="dxa"/>
              <w:bottom w:w="100" w:type="dxa"/>
              <w:end w:w="130" w:type="dxa"/>
            </w:tcMar>
            <w:vAlign w:val="center"/>
          </w:tcPr>
          <w:p>
            <w:pPr>
              <w:spacing w:after="0" w:line="259" w:lineRule="auto"/>
            </w:pPr>
            <w:r>
              <w:rPr>
                <w:rFonts w:ascii="Aptos" w:hAnsi="Aptos"/>
                <w:color w:val="1E252B"/>
                <w:sz w:val="14"/>
              </w:rPr>
              <w:t>Branch/environment protection, permissions, baseline lint, PR validation, repository backup.</w:t>
            </w:r>
          </w:p>
        </w:tc>
        <w:tc>
          <w:tcPr>
            <w:tcW w:type="dxa" w:w="2660"/>
            <w:shd w:fill="F7F9FB"/>
            <w:tcMar>
              <w:top w:w="100" w:type="dxa"/>
              <w:start w:w="130" w:type="dxa"/>
              <w:bottom w:w="100" w:type="dxa"/>
              <w:end w:w="130" w:type="dxa"/>
            </w:tcMar>
            <w:vAlign w:val="center"/>
          </w:tcPr>
          <w:p>
            <w:pPr>
              <w:spacing w:after="0" w:line="259" w:lineRule="auto"/>
            </w:pPr>
            <w:r>
              <w:rPr>
                <w:rFonts w:ascii="Aptos" w:hAnsi="Aptos"/>
                <w:color w:val="1E252B"/>
                <w:sz w:val="14"/>
              </w:rPr>
              <w:t>Governance controls tested without node deployment.</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4"/>
              </w:rPr>
              <w:t>AB-2</w:t>
            </w:r>
          </w:p>
        </w:tc>
        <w:tc>
          <w:tcPr>
            <w:tcW w:type="dxa" w:w="1550"/>
            <w:tcMar>
              <w:top w:w="100" w:type="dxa"/>
              <w:start w:w="130" w:type="dxa"/>
              <w:bottom w:w="100" w:type="dxa"/>
              <w:end w:w="130" w:type="dxa"/>
            </w:tcMar>
            <w:vAlign w:val="center"/>
          </w:tcPr>
          <w:p>
            <w:pPr>
              <w:spacing w:after="0" w:line="259" w:lineRule="auto"/>
            </w:pPr>
            <w:r>
              <w:rPr>
                <w:rFonts w:ascii="Aptos" w:hAnsi="Aptos"/>
                <w:color w:val="1E252B"/>
                <w:sz w:val="14"/>
              </w:rPr>
              <w:t>Identity and secrets</w:t>
            </w:r>
          </w:p>
        </w:tc>
        <w:tc>
          <w:tcPr>
            <w:tcW w:type="dxa" w:w="4250"/>
            <w:tcMar>
              <w:top w:w="100" w:type="dxa"/>
              <w:start w:w="130" w:type="dxa"/>
              <w:bottom w:w="100" w:type="dxa"/>
              <w:end w:w="130" w:type="dxa"/>
            </w:tcMar>
            <w:vAlign w:val="center"/>
          </w:tcPr>
          <w:p>
            <w:pPr>
              <w:spacing w:after="0" w:line="259" w:lineRule="auto"/>
            </w:pPr>
            <w:r>
              <w:rPr>
                <w:rFonts w:ascii="Aptos" w:hAnsi="Aptos"/>
                <w:color w:val="1E252B"/>
                <w:sz w:val="14"/>
              </w:rPr>
              <w:t>Owner recovery root, node/workload identities, environment separation, OIDC, secret mediation.</w:t>
            </w:r>
          </w:p>
        </w:tc>
        <w:tc>
          <w:tcPr>
            <w:tcW w:type="dxa" w:w="2660"/>
            <w:tcMar>
              <w:top w:w="100" w:type="dxa"/>
              <w:start w:w="130" w:type="dxa"/>
              <w:bottom w:w="100" w:type="dxa"/>
              <w:end w:w="130" w:type="dxa"/>
            </w:tcMar>
            <w:vAlign w:val="center"/>
          </w:tcPr>
          <w:p>
            <w:pPr>
              <w:spacing w:after="0" w:line="259" w:lineRule="auto"/>
            </w:pPr>
            <w:r>
              <w:rPr>
                <w:rFonts w:ascii="Aptos" w:hAnsi="Aptos"/>
                <w:color w:val="1E252B"/>
                <w:sz w:val="14"/>
              </w:rPr>
              <w:t>Issuance, rotation, revocation, and recovery evidence.</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4"/>
              </w:rPr>
              <w:t>AB-3</w:t>
            </w:r>
          </w:p>
        </w:tc>
        <w:tc>
          <w:tcPr>
            <w:tcW w:type="dxa" w:w="1550"/>
            <w:shd w:fill="F7F9FB"/>
            <w:tcMar>
              <w:top w:w="100" w:type="dxa"/>
              <w:start w:w="130" w:type="dxa"/>
              <w:bottom w:w="100" w:type="dxa"/>
              <w:end w:w="130" w:type="dxa"/>
            </w:tcMar>
            <w:vAlign w:val="center"/>
          </w:tcPr>
          <w:p>
            <w:pPr>
              <w:spacing w:after="0" w:line="259" w:lineRule="auto"/>
            </w:pPr>
            <w:r>
              <w:rPr>
                <w:rFonts w:ascii="Aptos" w:hAnsi="Aptos"/>
                <w:color w:val="1E252B"/>
                <w:sz w:val="14"/>
              </w:rPr>
              <w:t>Control-plane skeleton</w:t>
            </w:r>
          </w:p>
        </w:tc>
        <w:tc>
          <w:tcPr>
            <w:tcW w:type="dxa" w:w="4250"/>
            <w:shd w:fill="F7F9FB"/>
            <w:tcMar>
              <w:top w:w="100" w:type="dxa"/>
              <w:start w:w="130" w:type="dxa"/>
              <w:bottom w:w="100" w:type="dxa"/>
              <w:end w:w="130" w:type="dxa"/>
            </w:tcMar>
            <w:vAlign w:val="center"/>
          </w:tcPr>
          <w:p>
            <w:pPr>
              <w:spacing w:after="0" w:line="259" w:lineRule="auto"/>
            </w:pPr>
            <w:r>
              <w:rPr>
                <w:rFonts w:ascii="Aptos" w:hAnsi="Aptos"/>
                <w:color w:val="1E252B"/>
                <w:sz w:val="14"/>
              </w:rPr>
              <w:t>ASUS reconciler, PostgreSQL projections, NATS transport, VPS observation/cache, leases and fencing.</w:t>
            </w:r>
          </w:p>
        </w:tc>
        <w:tc>
          <w:tcPr>
            <w:tcW w:type="dxa" w:w="2660"/>
            <w:shd w:fill="F7F9FB"/>
            <w:tcMar>
              <w:top w:w="100" w:type="dxa"/>
              <w:start w:w="130" w:type="dxa"/>
              <w:bottom w:w="100" w:type="dxa"/>
              <w:end w:w="130" w:type="dxa"/>
            </w:tcMar>
            <w:vAlign w:val="center"/>
          </w:tcPr>
          <w:p>
            <w:pPr>
              <w:spacing w:after="0" w:line="259" w:lineRule="auto"/>
            </w:pPr>
            <w:r>
              <w:rPr>
                <w:rFonts w:ascii="Aptos" w:hAnsi="Aptos"/>
                <w:color w:val="1E252B"/>
                <w:sz w:val="14"/>
              </w:rPr>
              <w:t>Read-only reconciliation and fail-closed tests.</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4"/>
              </w:rPr>
              <w:t>AB-4</w:t>
            </w:r>
          </w:p>
        </w:tc>
        <w:tc>
          <w:tcPr>
            <w:tcW w:type="dxa" w:w="1550"/>
            <w:tcMar>
              <w:top w:w="100" w:type="dxa"/>
              <w:start w:w="130" w:type="dxa"/>
              <w:bottom w:w="100" w:type="dxa"/>
              <w:end w:w="130" w:type="dxa"/>
            </w:tcMar>
            <w:vAlign w:val="center"/>
          </w:tcPr>
          <w:p>
            <w:pPr>
              <w:spacing w:after="0" w:line="259" w:lineRule="auto"/>
            </w:pPr>
            <w:r>
              <w:rPr>
                <w:rFonts w:ascii="Aptos" w:hAnsi="Aptos"/>
                <w:color w:val="1E252B"/>
                <w:sz w:val="14"/>
              </w:rPr>
              <w:t>Rootless execution</w:t>
            </w:r>
          </w:p>
        </w:tc>
        <w:tc>
          <w:tcPr>
            <w:tcW w:type="dxa" w:w="4250"/>
            <w:tcMar>
              <w:top w:w="100" w:type="dxa"/>
              <w:start w:w="130" w:type="dxa"/>
              <w:bottom w:w="100" w:type="dxa"/>
              <w:end w:w="130" w:type="dxa"/>
            </w:tcMar>
            <w:vAlign w:val="center"/>
          </w:tcPr>
          <w:p>
            <w:pPr>
              <w:spacing w:after="0" w:line="259" w:lineRule="auto"/>
            </w:pPr>
            <w:r>
              <w:rPr>
                <w:rFonts w:ascii="Aptos" w:hAnsi="Aptos"/>
                <w:color w:val="1E252B"/>
                <w:sz w:val="14"/>
              </w:rPr>
              <w:t>Environment-scoped runtime, bounded host supervisor, resource/network/storage policy.</w:t>
            </w:r>
          </w:p>
        </w:tc>
        <w:tc>
          <w:tcPr>
            <w:tcW w:type="dxa" w:w="2660"/>
            <w:tcMar>
              <w:top w:w="100" w:type="dxa"/>
              <w:start w:w="130" w:type="dxa"/>
              <w:bottom w:w="100" w:type="dxa"/>
              <w:end w:w="130" w:type="dxa"/>
            </w:tcMar>
            <w:vAlign w:val="center"/>
          </w:tcPr>
          <w:p>
            <w:pPr>
              <w:spacing w:after="0" w:line="259" w:lineRule="auto"/>
            </w:pPr>
            <w:r>
              <w:rPr>
                <w:rFonts w:ascii="Aptos" w:hAnsi="Aptos"/>
                <w:color w:val="1E252B"/>
                <w:sz w:val="14"/>
              </w:rPr>
              <w:t>Development and testing execution with isolation evidence.</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4"/>
              </w:rPr>
              <w:t>AB-5</w:t>
            </w:r>
          </w:p>
        </w:tc>
        <w:tc>
          <w:tcPr>
            <w:tcW w:type="dxa" w:w="1550"/>
            <w:shd w:fill="F7F9FB"/>
            <w:tcMar>
              <w:top w:w="100" w:type="dxa"/>
              <w:start w:w="130" w:type="dxa"/>
              <w:bottom w:w="100" w:type="dxa"/>
              <w:end w:w="130" w:type="dxa"/>
            </w:tcMar>
            <w:vAlign w:val="center"/>
          </w:tcPr>
          <w:p>
            <w:pPr>
              <w:spacing w:after="0" w:line="259" w:lineRule="auto"/>
            </w:pPr>
            <w:r>
              <w:rPr>
                <w:rFonts w:ascii="Aptos" w:hAnsi="Aptos"/>
                <w:color w:val="1E252B"/>
                <w:sz w:val="14"/>
              </w:rPr>
              <w:t>GitHubOps delivery</w:t>
            </w:r>
          </w:p>
        </w:tc>
        <w:tc>
          <w:tcPr>
            <w:tcW w:type="dxa" w:w="4250"/>
            <w:shd w:fill="F7F9FB"/>
            <w:tcMar>
              <w:top w:w="100" w:type="dxa"/>
              <w:start w:w="130" w:type="dxa"/>
              <w:bottom w:w="100" w:type="dxa"/>
              <w:end w:w="130" w:type="dxa"/>
            </w:tcMar>
            <w:vAlign w:val="center"/>
          </w:tcPr>
          <w:p>
            <w:pPr>
              <w:spacing w:after="0" w:line="259" w:lineRule="auto"/>
            </w:pPr>
            <w:r>
              <w:rPr>
                <w:rFonts w:ascii="Aptos" w:hAnsi="Aptos"/>
                <w:color w:val="1E252B"/>
                <w:sz w:val="14"/>
              </w:rPr>
              <w:t>Build/attest/promote/dispatch workflows, action envelopes, signed releases, rollback.</w:t>
            </w:r>
          </w:p>
        </w:tc>
        <w:tc>
          <w:tcPr>
            <w:tcW w:type="dxa" w:w="2660"/>
            <w:shd w:fill="F7F9FB"/>
            <w:tcMar>
              <w:top w:w="100" w:type="dxa"/>
              <w:start w:w="130" w:type="dxa"/>
              <w:bottom w:w="100" w:type="dxa"/>
              <w:end w:w="130" w:type="dxa"/>
            </w:tcMar>
            <w:vAlign w:val="center"/>
          </w:tcPr>
          <w:p>
            <w:pPr>
              <w:spacing w:after="0" w:line="259" w:lineRule="auto"/>
            </w:pPr>
            <w:r>
              <w:rPr>
                <w:rFonts w:ascii="Aptos" w:hAnsi="Aptos"/>
                <w:color w:val="1E252B"/>
                <w:sz w:val="14"/>
              </w:rPr>
              <w:t>One reversible deployment promoted dev → test → operational.</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4"/>
              </w:rPr>
              <w:t>AB-6</w:t>
            </w:r>
          </w:p>
        </w:tc>
        <w:tc>
          <w:tcPr>
            <w:tcW w:type="dxa" w:w="1550"/>
            <w:tcMar>
              <w:top w:w="100" w:type="dxa"/>
              <w:start w:w="130" w:type="dxa"/>
              <w:bottom w:w="100" w:type="dxa"/>
              <w:end w:w="130" w:type="dxa"/>
            </w:tcMar>
            <w:vAlign w:val="center"/>
          </w:tcPr>
          <w:p>
            <w:pPr>
              <w:spacing w:after="0" w:line="259" w:lineRule="auto"/>
            </w:pPr>
            <w:r>
              <w:rPr>
                <w:rFonts w:ascii="Aptos" w:hAnsi="Aptos"/>
                <w:color w:val="1E252B"/>
                <w:sz w:val="14"/>
              </w:rPr>
              <w:t>Evidence and Console</w:t>
            </w:r>
          </w:p>
        </w:tc>
        <w:tc>
          <w:tcPr>
            <w:tcW w:type="dxa" w:w="4250"/>
            <w:tcMar>
              <w:top w:w="100" w:type="dxa"/>
              <w:start w:w="130" w:type="dxa"/>
              <w:bottom w:w="100" w:type="dxa"/>
              <w:end w:w="130" w:type="dxa"/>
            </w:tcMar>
            <w:vAlign w:val="center"/>
          </w:tcPr>
          <w:p>
            <w:pPr>
              <w:spacing w:after="0" w:line="259" w:lineRule="auto"/>
            </w:pPr>
            <w:r>
              <w:rPr>
                <w:rFonts w:ascii="Aptos" w:hAnsi="Aptos"/>
                <w:color w:val="1E252B"/>
                <w:sz w:val="14"/>
              </w:rPr>
              <w:t>Receipts, integrity chain, durable copy, dashboards, conversational and CLI views.</w:t>
            </w:r>
          </w:p>
        </w:tc>
        <w:tc>
          <w:tcPr>
            <w:tcW w:type="dxa" w:w="2660"/>
            <w:tcMar>
              <w:top w:w="100" w:type="dxa"/>
              <w:start w:w="130" w:type="dxa"/>
              <w:bottom w:w="100" w:type="dxa"/>
              <w:end w:w="130" w:type="dxa"/>
            </w:tcMar>
            <w:vAlign w:val="center"/>
          </w:tcPr>
          <w:p>
            <w:pPr>
              <w:spacing w:after="0" w:line="259" w:lineRule="auto"/>
            </w:pPr>
            <w:r>
              <w:rPr>
                <w:rFonts w:ascii="Aptos" w:hAnsi="Aptos"/>
                <w:color w:val="1E252B"/>
                <w:sz w:val="14"/>
              </w:rPr>
              <w:t>Reproducible action history and tamper tests.</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4"/>
              </w:rPr>
              <w:t>AB-7</w:t>
            </w:r>
          </w:p>
        </w:tc>
        <w:tc>
          <w:tcPr>
            <w:tcW w:type="dxa" w:w="1550"/>
            <w:shd w:fill="F7F9FB"/>
            <w:tcMar>
              <w:top w:w="100" w:type="dxa"/>
              <w:start w:w="130" w:type="dxa"/>
              <w:bottom w:w="100" w:type="dxa"/>
              <w:end w:w="130" w:type="dxa"/>
            </w:tcMar>
            <w:vAlign w:val="center"/>
          </w:tcPr>
          <w:p>
            <w:pPr>
              <w:spacing w:after="0" w:line="259" w:lineRule="auto"/>
            </w:pPr>
            <w:r>
              <w:rPr>
                <w:rFonts w:ascii="Aptos" w:hAnsi="Aptos"/>
                <w:color w:val="1E252B"/>
                <w:sz w:val="14"/>
              </w:rPr>
              <w:t>Continuity</w:t>
            </w:r>
          </w:p>
        </w:tc>
        <w:tc>
          <w:tcPr>
            <w:tcW w:type="dxa" w:w="4250"/>
            <w:shd w:fill="F7F9FB"/>
            <w:tcMar>
              <w:top w:w="100" w:type="dxa"/>
              <w:start w:w="130" w:type="dxa"/>
              <w:bottom w:w="100" w:type="dxa"/>
              <w:end w:w="130" w:type="dxa"/>
            </w:tcMar>
            <w:vAlign w:val="center"/>
          </w:tcPr>
          <w:p>
            <w:pPr>
              <w:spacing w:after="0" w:line="259" w:lineRule="auto"/>
            </w:pPr>
            <w:r>
              <w:rPr>
                <w:rFonts w:ascii="Aptos" w:hAnsi="Aptos"/>
                <w:color w:val="1E252B"/>
                <w:sz w:val="14"/>
              </w:rPr>
              <w:t>Signed outage cache, schedules, restore automation, out-of-band access, recovery drills.</w:t>
            </w:r>
          </w:p>
        </w:tc>
        <w:tc>
          <w:tcPr>
            <w:tcW w:type="dxa" w:w="2660"/>
            <w:shd w:fill="F7F9FB"/>
            <w:tcMar>
              <w:top w:w="100" w:type="dxa"/>
              <w:start w:w="130" w:type="dxa"/>
              <w:bottom w:w="100" w:type="dxa"/>
              <w:end w:w="130" w:type="dxa"/>
            </w:tcMar>
            <w:vAlign w:val="center"/>
          </w:tcPr>
          <w:p>
            <w:pPr>
              <w:spacing w:after="0" w:line="259" w:lineRule="auto"/>
            </w:pPr>
            <w:r>
              <w:rPr>
                <w:rFonts w:ascii="Aptos" w:hAnsi="Aptos"/>
                <w:color w:val="1E252B"/>
                <w:sz w:val="14"/>
              </w:rPr>
              <w:t>Mac/GitHub/ASUS/VPS degraded-mode trials.</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4"/>
              </w:rPr>
              <w:t>AB-8</w:t>
            </w:r>
          </w:p>
        </w:tc>
        <w:tc>
          <w:tcPr>
            <w:tcW w:type="dxa" w:w="1550"/>
            <w:tcMar>
              <w:top w:w="100" w:type="dxa"/>
              <w:start w:w="130" w:type="dxa"/>
              <w:bottom w:w="100" w:type="dxa"/>
              <w:end w:w="130" w:type="dxa"/>
            </w:tcMar>
            <w:vAlign w:val="center"/>
          </w:tcPr>
          <w:p>
            <w:pPr>
              <w:spacing w:after="0" w:line="259" w:lineRule="auto"/>
            </w:pPr>
            <w:r>
              <w:rPr>
                <w:rFonts w:ascii="Aptos" w:hAnsi="Aptos"/>
                <w:color w:val="1E252B"/>
                <w:sz w:val="14"/>
              </w:rPr>
              <w:t>Operational qualification</w:t>
            </w:r>
          </w:p>
        </w:tc>
        <w:tc>
          <w:tcPr>
            <w:tcW w:type="dxa" w:w="4250"/>
            <w:tcMar>
              <w:top w:w="100" w:type="dxa"/>
              <w:start w:w="130" w:type="dxa"/>
              <w:bottom w:w="100" w:type="dxa"/>
              <w:end w:w="130" w:type="dxa"/>
            </w:tcMar>
            <w:vAlign w:val="center"/>
          </w:tcPr>
          <w:p>
            <w:pPr>
              <w:spacing w:after="0" w:line="259" w:lineRule="auto"/>
            </w:pPr>
            <w:r>
              <w:rPr>
                <w:rFonts w:ascii="Aptos" w:hAnsi="Aptos"/>
                <w:color w:val="1E252B"/>
                <w:sz w:val="14"/>
              </w:rPr>
              <w:t>Autonomous trials across all four domains, R4 gate, incident simulation, maintenance budget assessment.</w:t>
            </w:r>
          </w:p>
        </w:tc>
        <w:tc>
          <w:tcPr>
            <w:tcW w:type="dxa" w:w="2660"/>
            <w:tcMar>
              <w:top w:w="100" w:type="dxa"/>
              <w:start w:w="130" w:type="dxa"/>
              <w:bottom w:w="100" w:type="dxa"/>
              <w:end w:w="130" w:type="dxa"/>
            </w:tcMar>
            <w:vAlign w:val="center"/>
          </w:tcPr>
          <w:p>
            <w:pPr>
              <w:spacing w:after="0" w:line="259" w:lineRule="auto"/>
            </w:pPr>
            <w:r>
              <w:rPr>
                <w:rFonts w:ascii="Aptos" w:hAnsi="Aptos"/>
                <w:color w:val="1E252B"/>
                <w:sz w:val="14"/>
              </w:rPr>
              <w:t>Live Foundation qualification and owner acceptance.</w:t>
            </w:r>
          </w:p>
        </w:tc>
      </w:tr>
    </w:tbl>
    <w:p>
      <w:pPr>
        <w:spacing w:after="40"/>
      </w:pPr>
    </w:p>
    <w:p>
      <w:pPr>
        <w:pStyle w:val="Heading2"/>
        <w:keepNext/>
      </w:pPr>
      <w:r>
        <w:t>17.1 Smallest safe next move</w:t>
      </w:r>
    </w:p>
    <w:p>
      <w:pPr/>
      <w:r>
        <w:rPr>
          <w:rFonts w:ascii="Aptos" w:hAnsi="Aptos"/>
          <w:color w:val="1E252B"/>
        </w:rPr>
        <w:t>The smallest safe next move is AB-0 and AB-1 only: place this corrected baseline under protected GitHub governance and build repository-only validation. Do not resume legacy live NC-M3 bootstrap until the trust model, action-envelope schema, and environment boundaries have repository-enforced definitions.</w:t>
      </w:r>
    </w:p>
    <w:p>
      <w:pPr>
        <w:pStyle w:val="Heading1"/>
        <w:keepNext/>
      </w:pPr>
      <w:r>
        <w:t>18. Architecture acceptance</w:t>
      </w:r>
    </w:p>
    <w:p>
      <w:pPr>
        <w:pStyle w:val="Heading2"/>
        <w:keepNext/>
      </w:pPr>
      <w:r>
        <w:t>18.1 Acceptance checklist</w:t>
      </w:r>
    </w:p>
    <w:tbl>
      <w:tblPr>
        <w:tblStyle w:val="TableGrid"/>
        <w:tblW w:type="dxa" w:w="9360"/>
        <w:tblLayout w:type="fixed"/>
        <w:tblLook w:firstColumn="1" w:firstRow="1" w:lastColumn="0" w:lastRow="0" w:noHBand="0" w:noVBand="1" w:val="04A0"/>
        <w:jc w:val="left"/>
        <w:tblInd w:w="130" w:type="dxa"/>
      </w:tblPr>
      <w:tblGrid>
        <w:gridCol w:w="2300"/>
        <w:gridCol w:w="7060"/>
      </w:tblGrid>
      <w:tr>
        <w:trPr>
          <w:tblHeader w:val="true"/>
          <w:cantSplit/>
        </w:trPr>
        <w:tc>
          <w:tcPr>
            <w:tcW w:type="dxa" w:w="2300"/>
            <w:tcMar>
              <w:top w:w="100" w:type="dxa"/>
              <w:start w:w="130" w:type="dxa"/>
              <w:bottom w:w="100" w:type="dxa"/>
              <w:end w:w="130" w:type="dxa"/>
            </w:tcMar>
            <w:vAlign w:val="center"/>
            <w:shd w:fill="14213D"/>
          </w:tcPr>
          <w:p>
            <w:pPr>
              <w:spacing w:after="0"/>
              <w:jc w:val="left"/>
            </w:pPr>
            <w:r>
              <w:rPr>
                <w:rFonts w:ascii="Aptos" w:hAnsi="Aptos"/>
                <w:b/>
                <w:color w:val="FFFFFF"/>
                <w:sz w:val="16"/>
              </w:rPr>
              <w:t>Acceptance area</w:t>
            </w:r>
          </w:p>
        </w:tc>
        <w:tc>
          <w:tcPr>
            <w:tcW w:type="dxa" w:w="7060"/>
            <w:tcMar>
              <w:top w:w="100" w:type="dxa"/>
              <w:start w:w="130" w:type="dxa"/>
              <w:bottom w:w="100" w:type="dxa"/>
              <w:end w:w="130" w:type="dxa"/>
            </w:tcMar>
            <w:vAlign w:val="center"/>
            <w:shd w:fill="14213D"/>
          </w:tcPr>
          <w:p>
            <w:pPr>
              <w:spacing w:after="0"/>
              <w:jc w:val="left"/>
            </w:pPr>
            <w:r>
              <w:rPr>
                <w:rFonts w:ascii="Aptos" w:hAnsi="Aptos"/>
                <w:b/>
                <w:color w:val="FFFFFF"/>
                <w:sz w:val="16"/>
              </w:rPr>
              <w:t>Required condition</w:t>
            </w:r>
          </w:p>
        </w:tc>
      </w:tr>
      <w:tr>
        <w:trPr>
          <w:cantSplit/>
        </w:trPr>
        <w:tc>
          <w:tcPr>
            <w:tcW w:type="dxa" w:w="2300"/>
            <w:tcMar>
              <w:top w:w="100" w:type="dxa"/>
              <w:start w:w="130" w:type="dxa"/>
              <w:bottom w:w="100" w:type="dxa"/>
              <w:end w:w="130" w:type="dxa"/>
            </w:tcMar>
            <w:vAlign w:val="center"/>
          </w:tcPr>
          <w:p>
            <w:pPr>
              <w:spacing w:after="0" w:line="259" w:lineRule="auto"/>
            </w:pPr>
            <w:r>
              <w:rPr>
                <w:rFonts w:ascii="Aptos" w:hAnsi="Aptos"/>
                <w:color w:val="1E252B"/>
                <w:sz w:val="17"/>
              </w:rPr>
              <w:t>Purpose and scope</w:t>
            </w:r>
          </w:p>
        </w:tc>
        <w:tc>
          <w:tcPr>
            <w:tcW w:type="dxa" w:w="7060"/>
            <w:tcMar>
              <w:top w:w="100" w:type="dxa"/>
              <w:start w:w="130" w:type="dxa"/>
              <w:bottom w:w="100" w:type="dxa"/>
              <w:end w:w="130" w:type="dxa"/>
            </w:tcMar>
            <w:vAlign w:val="center"/>
          </w:tcPr>
          <w:p>
            <w:pPr>
              <w:spacing w:after="0" w:line="259" w:lineRule="auto"/>
            </w:pPr>
            <w:r>
              <w:rPr>
                <w:rFonts w:ascii="Aptos" w:hAnsi="Aptos"/>
                <w:color w:val="1E252B"/>
                <w:sz w:val="17"/>
              </w:rPr>
              <w:t>Primary purpose, supporting location-independence objective, domains, and non-goals are explicit.</w:t>
            </w:r>
          </w:p>
        </w:tc>
      </w:tr>
      <w:tr>
        <w:trPr>
          <w:cantSplit/>
        </w:trPr>
        <w:tc>
          <w:tcPr>
            <w:tcW w:type="dxa" w:w="2300"/>
            <w:shd w:fill="F7F9FB"/>
            <w:tcMar>
              <w:top w:w="100" w:type="dxa"/>
              <w:start w:w="130" w:type="dxa"/>
              <w:bottom w:w="100" w:type="dxa"/>
              <w:end w:w="130" w:type="dxa"/>
            </w:tcMar>
            <w:vAlign w:val="center"/>
          </w:tcPr>
          <w:p>
            <w:pPr>
              <w:spacing w:after="0" w:line="259" w:lineRule="auto"/>
            </w:pPr>
            <w:r>
              <w:rPr>
                <w:rFonts w:ascii="Aptos" w:hAnsi="Aptos"/>
                <w:color w:val="1E252B"/>
                <w:sz w:val="17"/>
              </w:rPr>
              <w:t>Topology</w:t>
            </w:r>
          </w:p>
        </w:tc>
        <w:tc>
          <w:tcPr>
            <w:tcW w:type="dxa" w:w="7060"/>
            <w:shd w:fill="F7F9FB"/>
            <w:tcMar>
              <w:top w:w="100" w:type="dxa"/>
              <w:start w:w="130" w:type="dxa"/>
              <w:bottom w:w="100" w:type="dxa"/>
              <w:end w:w="130" w:type="dxa"/>
            </w:tcMar>
            <w:vAlign w:val="center"/>
          </w:tcPr>
          <w:p>
            <w:pPr>
              <w:spacing w:after="0" w:line="259" w:lineRule="auto"/>
            </w:pPr>
            <w:r>
              <w:rPr>
                <w:rFonts w:ascii="Aptos" w:hAnsi="Aptos"/>
                <w:color w:val="1E252B"/>
                <w:sz w:val="17"/>
              </w:rPr>
              <w:t>Mac, ASUS, VPS, GitHub, execution environments, and evidence plane have non-overlapping responsibilities.</w:t>
            </w:r>
          </w:p>
        </w:tc>
      </w:tr>
      <w:tr>
        <w:trPr>
          <w:cantSplit/>
        </w:trPr>
        <w:tc>
          <w:tcPr>
            <w:tcW w:type="dxa" w:w="2300"/>
            <w:tcMar>
              <w:top w:w="100" w:type="dxa"/>
              <w:start w:w="130" w:type="dxa"/>
              <w:bottom w:w="100" w:type="dxa"/>
              <w:end w:w="130" w:type="dxa"/>
            </w:tcMar>
            <w:vAlign w:val="center"/>
          </w:tcPr>
          <w:p>
            <w:pPr>
              <w:spacing w:after="0" w:line="259" w:lineRule="auto"/>
            </w:pPr>
            <w:r>
              <w:rPr>
                <w:rFonts w:ascii="Aptos" w:hAnsi="Aptos"/>
                <w:color w:val="1E252B"/>
                <w:sz w:val="17"/>
              </w:rPr>
              <w:t>Authority</w:t>
            </w:r>
          </w:p>
        </w:tc>
        <w:tc>
          <w:tcPr>
            <w:tcW w:type="dxa" w:w="7060"/>
            <w:tcMar>
              <w:top w:w="100" w:type="dxa"/>
              <w:start w:w="130" w:type="dxa"/>
              <w:bottom w:w="100" w:type="dxa"/>
              <w:end w:w="130" w:type="dxa"/>
            </w:tcMar>
            <w:vAlign w:val="center"/>
          </w:tcPr>
          <w:p>
            <w:pPr>
              <w:spacing w:after="0" w:line="259" w:lineRule="auto"/>
            </w:pPr>
            <w:r>
              <w:rPr>
                <w:rFonts w:ascii="Aptos" w:hAnsi="Aptos"/>
                <w:color w:val="1E252B"/>
                <w:sz w:val="17"/>
              </w:rPr>
              <w:t>GitHub desired state, owner recovery authority, policy, execution, runtime state, and evidence are distinguished.</w:t>
            </w:r>
          </w:p>
        </w:tc>
      </w:tr>
      <w:tr>
        <w:trPr>
          <w:cantSplit/>
        </w:trPr>
        <w:tc>
          <w:tcPr>
            <w:tcW w:type="dxa" w:w="2300"/>
            <w:shd w:fill="F7F9FB"/>
            <w:tcMar>
              <w:top w:w="100" w:type="dxa"/>
              <w:start w:w="130" w:type="dxa"/>
              <w:bottom w:w="100" w:type="dxa"/>
              <w:end w:w="130" w:type="dxa"/>
            </w:tcMar>
            <w:vAlign w:val="center"/>
          </w:tcPr>
          <w:p>
            <w:pPr>
              <w:spacing w:after="0" w:line="259" w:lineRule="auto"/>
            </w:pPr>
            <w:r>
              <w:rPr>
                <w:rFonts w:ascii="Aptos" w:hAnsi="Aptos"/>
                <w:color w:val="1E252B"/>
                <w:sz w:val="17"/>
              </w:rPr>
              <w:t>Autonomy</w:t>
            </w:r>
          </w:p>
        </w:tc>
        <w:tc>
          <w:tcPr>
            <w:tcW w:type="dxa" w:w="7060"/>
            <w:shd w:fill="F7F9FB"/>
            <w:tcMar>
              <w:top w:w="100" w:type="dxa"/>
              <w:start w:w="130" w:type="dxa"/>
              <w:bottom w:w="100" w:type="dxa"/>
              <w:end w:w="130" w:type="dxa"/>
            </w:tcMar>
            <w:vAlign w:val="center"/>
          </w:tcPr>
          <w:p>
            <w:pPr>
              <w:spacing w:after="0" w:line="259" w:lineRule="auto"/>
            </w:pPr>
            <w:r>
              <w:rPr>
                <w:rFonts w:ascii="Aptos" w:hAnsi="Aptos"/>
                <w:color w:val="1E252B"/>
                <w:sz w:val="17"/>
              </w:rPr>
              <w:t>All four action domains share risk, rollback, action-envelope, and evidence semantics.</w:t>
            </w:r>
          </w:p>
        </w:tc>
      </w:tr>
      <w:tr>
        <w:trPr>
          <w:cantSplit/>
        </w:trPr>
        <w:tc>
          <w:tcPr>
            <w:tcW w:type="dxa" w:w="2300"/>
            <w:tcMar>
              <w:top w:w="100" w:type="dxa"/>
              <w:start w:w="130" w:type="dxa"/>
              <w:bottom w:w="100" w:type="dxa"/>
              <w:end w:w="130" w:type="dxa"/>
            </w:tcMar>
            <w:vAlign w:val="center"/>
          </w:tcPr>
          <w:p>
            <w:pPr>
              <w:spacing w:after="0" w:line="259" w:lineRule="auto"/>
            </w:pPr>
            <w:r>
              <w:rPr>
                <w:rFonts w:ascii="Aptos" w:hAnsi="Aptos"/>
                <w:color w:val="1E252B"/>
                <w:sz w:val="17"/>
              </w:rPr>
              <w:t>Human gate</w:t>
            </w:r>
          </w:p>
        </w:tc>
        <w:tc>
          <w:tcPr>
            <w:tcW w:type="dxa" w:w="7060"/>
            <w:tcMar>
              <w:top w:w="100" w:type="dxa"/>
              <w:start w:w="130" w:type="dxa"/>
              <w:bottom w:w="100" w:type="dxa"/>
              <w:end w:w="130" w:type="dxa"/>
            </w:tcMar>
            <w:vAlign w:val="center"/>
          </w:tcPr>
          <w:p>
            <w:pPr>
              <w:spacing w:after="0" w:line="259" w:lineRule="auto"/>
            </w:pPr>
            <w:r>
              <w:rPr>
                <w:rFonts w:ascii="Aptos" w:hAnsi="Aptos"/>
                <w:color w:val="1E252B"/>
                <w:sz w:val="17"/>
              </w:rPr>
              <w:t>Irreversible actions are conservatively defined and always require owner approval.</w:t>
            </w:r>
          </w:p>
        </w:tc>
      </w:tr>
      <w:tr>
        <w:trPr>
          <w:cantSplit/>
        </w:trPr>
        <w:tc>
          <w:tcPr>
            <w:tcW w:type="dxa" w:w="2300"/>
            <w:shd w:fill="F7F9FB"/>
            <w:tcMar>
              <w:top w:w="100" w:type="dxa"/>
              <w:start w:w="130" w:type="dxa"/>
              <w:bottom w:w="100" w:type="dxa"/>
              <w:end w:w="130" w:type="dxa"/>
            </w:tcMar>
            <w:vAlign w:val="center"/>
          </w:tcPr>
          <w:p>
            <w:pPr>
              <w:spacing w:after="0" w:line="259" w:lineRule="auto"/>
            </w:pPr>
            <w:r>
              <w:rPr>
                <w:rFonts w:ascii="Aptos" w:hAnsi="Aptos"/>
                <w:color w:val="1E252B"/>
                <w:sz w:val="17"/>
              </w:rPr>
              <w:t>Isolation</w:t>
            </w:r>
          </w:p>
        </w:tc>
        <w:tc>
          <w:tcPr>
            <w:tcW w:type="dxa" w:w="7060"/>
            <w:shd w:fill="F7F9FB"/>
            <w:tcMar>
              <w:top w:w="100" w:type="dxa"/>
              <w:start w:w="130" w:type="dxa"/>
              <w:bottom w:w="100" w:type="dxa"/>
              <w:end w:w="130" w:type="dxa"/>
            </w:tcMar>
            <w:vAlign w:val="center"/>
          </w:tcPr>
          <w:p>
            <w:pPr>
              <w:spacing w:after="0" w:line="259" w:lineRule="auto"/>
            </w:pPr>
            <w:r>
              <w:rPr>
                <w:rFonts w:ascii="Aptos" w:hAnsi="Aptos"/>
                <w:color w:val="1E252B"/>
                <w:sz w:val="17"/>
              </w:rPr>
              <w:t>Rootless containers are default; environment identities, networks, state, and secrets are separate.</w:t>
            </w:r>
          </w:p>
        </w:tc>
      </w:tr>
      <w:tr>
        <w:trPr>
          <w:cantSplit/>
        </w:trPr>
        <w:tc>
          <w:tcPr>
            <w:tcW w:type="dxa" w:w="2300"/>
            <w:tcMar>
              <w:top w:w="100" w:type="dxa"/>
              <w:start w:w="130" w:type="dxa"/>
              <w:bottom w:w="100" w:type="dxa"/>
              <w:end w:w="130" w:type="dxa"/>
            </w:tcMar>
            <w:vAlign w:val="center"/>
          </w:tcPr>
          <w:p>
            <w:pPr>
              <w:spacing w:after="0" w:line="259" w:lineRule="auto"/>
            </w:pPr>
            <w:r>
              <w:rPr>
                <w:rFonts w:ascii="Aptos" w:hAnsi="Aptos"/>
                <w:color w:val="1E252B"/>
                <w:sz w:val="17"/>
              </w:rPr>
              <w:t>Continuity</w:t>
            </w:r>
          </w:p>
        </w:tc>
        <w:tc>
          <w:tcPr>
            <w:tcW w:type="dxa" w:w="7060"/>
            <w:tcMar>
              <w:top w:w="100" w:type="dxa"/>
              <w:start w:w="130" w:type="dxa"/>
              <w:bottom w:w="100" w:type="dxa"/>
              <w:end w:w="130" w:type="dxa"/>
            </w:tcMar>
            <w:vAlign w:val="center"/>
          </w:tcPr>
          <w:p>
            <w:pPr>
              <w:spacing w:after="0" w:line="259" w:lineRule="auto"/>
            </w:pPr>
            <w:r>
              <w:rPr>
                <w:rFonts w:ascii="Aptos" w:hAnsi="Aptos"/>
                <w:color w:val="1E252B"/>
                <w:sz w:val="17"/>
              </w:rPr>
              <w:t>Mac absence, GitHub outage, node loss, data-service loss, and evidence outage have fail-safe behavior.</w:t>
            </w:r>
          </w:p>
        </w:tc>
      </w:tr>
      <w:tr>
        <w:trPr>
          <w:cantSplit/>
        </w:trPr>
        <w:tc>
          <w:tcPr>
            <w:tcW w:type="dxa" w:w="2300"/>
            <w:shd w:fill="F7F9FB"/>
            <w:tcMar>
              <w:top w:w="100" w:type="dxa"/>
              <w:start w:w="130" w:type="dxa"/>
              <w:bottom w:w="100" w:type="dxa"/>
              <w:end w:w="130" w:type="dxa"/>
            </w:tcMar>
            <w:vAlign w:val="center"/>
          </w:tcPr>
          <w:p>
            <w:pPr>
              <w:spacing w:after="0" w:line="259" w:lineRule="auto"/>
            </w:pPr>
            <w:r>
              <w:rPr>
                <w:rFonts w:ascii="Aptos" w:hAnsi="Aptos"/>
                <w:color w:val="1E252B"/>
                <w:sz w:val="17"/>
              </w:rPr>
              <w:t>Security</w:t>
            </w:r>
          </w:p>
        </w:tc>
        <w:tc>
          <w:tcPr>
            <w:tcW w:type="dxa" w:w="7060"/>
            <w:shd w:fill="F7F9FB"/>
            <w:tcMar>
              <w:top w:w="100" w:type="dxa"/>
              <w:start w:w="130" w:type="dxa"/>
              <w:bottom w:w="100" w:type="dxa"/>
              <w:end w:w="130" w:type="dxa"/>
            </w:tcMar>
            <w:vAlign w:val="center"/>
          </w:tcPr>
          <w:p>
            <w:pPr>
              <w:spacing w:after="0" w:line="259" w:lineRule="auto"/>
            </w:pPr>
            <w:r>
              <w:rPr>
                <w:rFonts w:ascii="Aptos" w:hAnsi="Aptos"/>
                <w:color w:val="1E252B"/>
                <w:sz w:val="17"/>
              </w:rPr>
              <w:t>Primary threats, trust boundaries, residual risks, and recovery controls are documented.</w:t>
            </w:r>
          </w:p>
        </w:tc>
      </w:tr>
      <w:tr>
        <w:trPr>
          <w:cantSplit/>
        </w:trPr>
        <w:tc>
          <w:tcPr>
            <w:tcW w:type="dxa" w:w="2300"/>
            <w:tcMar>
              <w:top w:w="100" w:type="dxa"/>
              <w:start w:w="130" w:type="dxa"/>
              <w:bottom w:w="100" w:type="dxa"/>
              <w:end w:w="130" w:type="dxa"/>
            </w:tcMar>
            <w:vAlign w:val="center"/>
          </w:tcPr>
          <w:p>
            <w:pPr>
              <w:spacing w:after="0" w:line="259" w:lineRule="auto"/>
            </w:pPr>
            <w:r>
              <w:rPr>
                <w:rFonts w:ascii="Aptos" w:hAnsi="Aptos"/>
                <w:color w:val="1E252B"/>
                <w:sz w:val="17"/>
              </w:rPr>
              <w:t>Evolution</w:t>
            </w:r>
          </w:p>
        </w:tc>
        <w:tc>
          <w:tcPr>
            <w:tcW w:type="dxa" w:w="7060"/>
            <w:tcMar>
              <w:top w:w="100" w:type="dxa"/>
              <w:start w:w="130" w:type="dxa"/>
              <w:bottom w:w="100" w:type="dxa"/>
              <w:end w:w="130" w:type="dxa"/>
            </w:tcMar>
            <w:vAlign w:val="center"/>
          </w:tcPr>
          <w:p>
            <w:pPr>
              <w:spacing w:after="0" w:line="259" w:lineRule="auto"/>
            </w:pPr>
            <w:r>
              <w:rPr>
                <w:rFonts w:ascii="Aptos" w:hAnsi="Aptos"/>
                <w:color w:val="1E252B"/>
                <w:sz w:val="17"/>
              </w:rPr>
              <w:t>ADRs, deferred product decisions, prior-plan supersession, and implementation roadmap are explicit.</w:t>
            </w:r>
          </w:p>
        </w:tc>
      </w:tr>
      <w:tr>
        <w:trPr>
          <w:cantSplit/>
        </w:trPr>
        <w:tc>
          <w:tcPr>
            <w:tcW w:type="dxa" w:w="2300"/>
            <w:shd w:fill="F7F9FB"/>
            <w:tcMar>
              <w:top w:w="100" w:type="dxa"/>
              <w:start w:w="130" w:type="dxa"/>
              <w:bottom w:w="100" w:type="dxa"/>
              <w:end w:w="130" w:type="dxa"/>
            </w:tcMar>
            <w:vAlign w:val="center"/>
          </w:tcPr>
          <w:p>
            <w:pPr>
              <w:spacing w:after="0" w:line="259" w:lineRule="auto"/>
            </w:pPr>
            <w:r>
              <w:rPr>
                <w:rFonts w:ascii="Aptos" w:hAnsi="Aptos"/>
                <w:color w:val="1E252B"/>
                <w:sz w:val="17"/>
              </w:rPr>
              <w:t>Claim boundary</w:t>
            </w:r>
          </w:p>
        </w:tc>
        <w:tc>
          <w:tcPr>
            <w:tcW w:type="dxa" w:w="7060"/>
            <w:shd w:fill="F7F9FB"/>
            <w:tcMar>
              <w:top w:w="100" w:type="dxa"/>
              <w:start w:w="130" w:type="dxa"/>
              <w:bottom w:w="100" w:type="dxa"/>
              <w:end w:w="130" w:type="dxa"/>
            </w:tcMar>
            <w:vAlign w:val="center"/>
          </w:tcPr>
          <w:p>
            <w:pPr>
              <w:spacing w:after="0" w:line="259" w:lineRule="auto"/>
            </w:pPr>
            <w:r>
              <w:rPr>
                <w:rFonts w:ascii="Aptos" w:hAnsi="Aptos"/>
                <w:color w:val="1E252B"/>
                <w:sz w:val="17"/>
              </w:rPr>
              <w:t>No live implementation, recovery, performance, or security claim is inferred from architecture approval.</w:t>
            </w:r>
          </w:p>
        </w:tc>
      </w:tr>
    </w:tbl>
    <w:p>
      <w:pPr>
        <w:spacing w:after="40"/>
      </w:pPr>
    </w:p>
    <w:p>
      <w:pPr>
        <w:pStyle w:val="Heading2"/>
        <w:keepNext/>
      </w:pPr>
      <w:r>
        <w:t>18.2 Owner approval statement</w:t>
      </w:r>
    </w:p>
    <w:p>
      <w:pPr>
        <w:pStyle w:val="NyvoraCallout"/>
        <w:shd w:fill="DDF3F1"/>
        <w:keepLines/>
        <w:pBdr>
          <w:left w:val="single" w:sz="18" w:space="8" w:color="248A84"/>
        </w:pBdr>
      </w:pPr>
      <w:r>
        <w:rPr>
          <w:rFonts w:ascii="Aptos" w:hAnsi="Aptos"/>
          <w:b/>
          <w:color w:val="248A84"/>
          <w:sz w:val="18"/>
        </w:rPr>
        <w:t xml:space="preserve">OWNER APPROVAL  </w:t>
      </w:r>
      <w:r>
        <w:rPr>
          <w:rFonts w:ascii="Aptos" w:hAnsi="Aptos"/>
          <w:color w:val="1E252B"/>
          <w:sz w:val="21"/>
        </w:rPr>
        <w:t>I approve NYV-AB-2026-01 v1.0.1 as Nyvora's controlling architectural baseline. This direct owner instruction records repository-only baseline adoption and planning. It does not authorize or claim live deployment, credential rotation, network change, production mutation, or operational qualification.</w:t>
      </w:r>
    </w:p>
    <w:p>
      <w:pPr>
        <w:spacing w:before="360"/>
      </w:pPr>
      <w:r>
        <w:rPr>
          <w:rFonts w:ascii="Aptos" w:hAnsi="Aptos"/>
          <w:color w:val="1E252B"/>
          <w:sz w:val="20"/>
        </w:rPr>
        <w:t>Approval basis: direct owner instruction received 30 August 2026. Protected-GitHub approval remains AB-0 exit evidence.</w:t>
      </w:r>
    </w:p>
    <w:p>
      <w:pPr>
        <w:pStyle w:val="Heading2"/>
        <w:keepNext/>
      </w:pPr>
      <w:r>
        <w:t>18.3 Baseline status</w:t>
      </w:r>
    </w:p>
    <w:tbl>
      <w:tblPr>
        <w:tblStyle w:val="TableGrid"/>
        <w:tblW w:type="dxa" w:w="9360"/>
        <w:tblLayout w:type="fixed"/>
        <w:tblLook w:firstColumn="1" w:firstRow="1" w:lastColumn="0" w:lastRow="0" w:noHBand="0" w:noVBand="1" w:val="04A0"/>
        <w:jc w:val="left"/>
        <w:tblInd w:w="130" w:type="dxa"/>
      </w:tblPr>
      <w:tblGrid>
        <w:gridCol w:w="5200"/>
        <w:gridCol w:w="4160"/>
      </w:tblGrid>
      <w:tr>
        <w:trPr>
          <w:tblHeader w:val="true"/>
          <w:cantSplit/>
        </w:trPr>
        <w:tc>
          <w:tcPr>
            <w:tcW w:type="dxa" w:w="5200"/>
            <w:tcMar>
              <w:top w:w="100" w:type="dxa"/>
              <w:start w:w="130" w:type="dxa"/>
              <w:bottom w:w="100" w:type="dxa"/>
              <w:end w:w="130" w:type="dxa"/>
            </w:tcMar>
            <w:vAlign w:val="center"/>
            <w:shd w:fill="14213D"/>
          </w:tcPr>
          <w:p>
            <w:pPr>
              <w:spacing w:after="0"/>
              <w:jc w:val="left"/>
            </w:pPr>
            <w:r>
              <w:rPr>
                <w:rFonts w:ascii="Aptos" w:hAnsi="Aptos"/>
                <w:b/>
                <w:color w:val="FFFFFF"/>
                <w:sz w:val="16"/>
              </w:rPr>
              <w:t>Item</w:t>
            </w:r>
          </w:p>
        </w:tc>
        <w:tc>
          <w:tcPr>
            <w:tcW w:type="dxa" w:w="4160"/>
            <w:tcMar>
              <w:top w:w="100" w:type="dxa"/>
              <w:start w:w="130" w:type="dxa"/>
              <w:bottom w:w="100" w:type="dxa"/>
              <w:end w:w="130" w:type="dxa"/>
            </w:tcMar>
            <w:vAlign w:val="center"/>
            <w:shd w:fill="14213D"/>
          </w:tcPr>
          <w:p>
            <w:pPr>
              <w:spacing w:after="0"/>
              <w:jc w:val="left"/>
            </w:pPr>
            <w:r>
              <w:rPr>
                <w:rFonts w:ascii="Aptos" w:hAnsi="Aptos"/>
                <w:b/>
                <w:color w:val="FFFFFF"/>
                <w:sz w:val="16"/>
              </w:rPr>
              <w:t>Status</w:t>
            </w:r>
          </w:p>
        </w:tc>
      </w:tr>
      <w:tr>
        <w:trPr>
          <w:cantSplit/>
        </w:trPr>
        <w:tc>
          <w:tcPr>
            <w:tcW w:type="dxa" w:w="5200"/>
            <w:tcMar>
              <w:top w:w="100" w:type="dxa"/>
              <w:start w:w="130" w:type="dxa"/>
              <w:bottom w:w="100" w:type="dxa"/>
              <w:end w:w="130" w:type="dxa"/>
            </w:tcMar>
            <w:vAlign w:val="center"/>
          </w:tcPr>
          <w:p>
            <w:pPr>
              <w:spacing w:after="0" w:line="259" w:lineRule="auto"/>
            </w:pPr>
            <w:r>
              <w:rPr>
                <w:rFonts w:ascii="Aptos" w:hAnsi="Aptos"/>
                <w:color w:val="1E252B"/>
                <w:sz w:val="17"/>
              </w:rPr>
              <w:t>Architecture package produced</w:t>
            </w:r>
          </w:p>
        </w:tc>
        <w:tc>
          <w:tcPr>
            <w:tcW w:type="dxa" w:w="4160"/>
            <w:tcMar>
              <w:top w:w="100" w:type="dxa"/>
              <w:start w:w="130" w:type="dxa"/>
              <w:bottom w:w="100" w:type="dxa"/>
              <w:end w:w="130" w:type="dxa"/>
            </w:tcMar>
            <w:vAlign w:val="center"/>
          </w:tcPr>
          <w:p>
            <w:pPr>
              <w:spacing w:after="0" w:line="259" w:lineRule="auto"/>
            </w:pPr>
            <w:r>
              <w:rPr>
                <w:rFonts w:ascii="Aptos" w:hAnsi="Aptos"/>
                <w:color w:val="1E252B"/>
                <w:sz w:val="17"/>
              </w:rPr>
              <w:t>YES</w:t>
            </w:r>
          </w:p>
        </w:tc>
      </w:tr>
      <w:tr>
        <w:trPr>
          <w:cantSplit/>
        </w:trPr>
        <w:tc>
          <w:tcPr>
            <w:tcW w:type="dxa" w:w="5200"/>
            <w:shd w:fill="F7F9FB"/>
            <w:tcMar>
              <w:top w:w="100" w:type="dxa"/>
              <w:start w:w="130" w:type="dxa"/>
              <w:bottom w:w="100" w:type="dxa"/>
              <w:end w:w="130" w:type="dxa"/>
            </w:tcMar>
            <w:vAlign w:val="center"/>
          </w:tcPr>
          <w:p>
            <w:pPr>
              <w:spacing w:after="0" w:line="259" w:lineRule="auto"/>
            </w:pPr>
            <w:r>
              <w:rPr>
                <w:rFonts w:ascii="Aptos" w:hAnsi="Aptos"/>
                <w:color w:val="1E252B"/>
                <w:sz w:val="17"/>
              </w:rPr>
              <w:t>Owner approval recorded</w:t>
            </w:r>
          </w:p>
        </w:tc>
        <w:tc>
          <w:tcPr>
            <w:tcW w:type="dxa" w:w="4160"/>
            <w:shd w:fill="F7F9FB"/>
            <w:tcMar>
              <w:top w:w="100" w:type="dxa"/>
              <w:start w:w="130" w:type="dxa"/>
              <w:bottom w:w="100" w:type="dxa"/>
              <w:end w:w="130" w:type="dxa"/>
            </w:tcMar>
            <w:vAlign w:val="center"/>
          </w:tcPr>
          <w:p>
            <w:pPr>
              <w:spacing w:after="0" w:line="259" w:lineRule="auto"/>
            </w:pPr>
            <w:r>
              <w:rPr>
                <w:rFonts w:ascii="Aptos" w:hAnsi="Aptos"/>
                <w:color w:val="1E252B"/>
                <w:sz w:val="17"/>
              </w:rPr>
              <w:t>YES — direct owner adoption instruction, 30 August 2026</w:t>
            </w:r>
          </w:p>
        </w:tc>
      </w:tr>
      <w:tr>
        <w:trPr>
          <w:cantSplit/>
        </w:trPr>
        <w:tc>
          <w:tcPr>
            <w:tcW w:type="dxa" w:w="5200"/>
            <w:tcMar>
              <w:top w:w="100" w:type="dxa"/>
              <w:start w:w="130" w:type="dxa"/>
              <w:bottom w:w="100" w:type="dxa"/>
              <w:end w:w="130" w:type="dxa"/>
            </w:tcMar>
            <w:vAlign w:val="center"/>
          </w:tcPr>
          <w:p>
            <w:pPr>
              <w:spacing w:after="0" w:line="259" w:lineRule="auto"/>
            </w:pPr>
            <w:r>
              <w:rPr>
                <w:rFonts w:ascii="Aptos" w:hAnsi="Aptos"/>
                <w:color w:val="1E252B"/>
                <w:sz w:val="17"/>
              </w:rPr>
              <w:t>Committed to protected GitHub</w:t>
            </w:r>
          </w:p>
        </w:tc>
        <w:tc>
          <w:tcPr>
            <w:tcW w:type="dxa" w:w="4160"/>
            <w:tcMar>
              <w:top w:w="100" w:type="dxa"/>
              <w:start w:w="130" w:type="dxa"/>
              <w:bottom w:w="100" w:type="dxa"/>
              <w:end w:w="130" w:type="dxa"/>
            </w:tcMar>
            <w:vAlign w:val="center"/>
          </w:tcPr>
          <w:p>
            <w:pPr>
              <w:spacing w:after="0" w:line="259" w:lineRule="auto"/>
            </w:pPr>
            <w:r>
              <w:rPr>
                <w:rFonts w:ascii="Aptos" w:hAnsi="Aptos"/>
                <w:color w:val="1E252B"/>
                <w:sz w:val="17"/>
              </w:rPr>
              <w:t>NOT CLAIMED</w:t>
            </w:r>
          </w:p>
        </w:tc>
      </w:tr>
      <w:tr>
        <w:trPr>
          <w:cantSplit/>
        </w:trPr>
        <w:tc>
          <w:tcPr>
            <w:tcW w:type="dxa" w:w="5200"/>
            <w:shd w:fill="F7F9FB"/>
            <w:tcMar>
              <w:top w:w="100" w:type="dxa"/>
              <w:start w:w="130" w:type="dxa"/>
              <w:bottom w:w="100" w:type="dxa"/>
              <w:end w:w="130" w:type="dxa"/>
            </w:tcMar>
            <w:vAlign w:val="center"/>
          </w:tcPr>
          <w:p>
            <w:pPr>
              <w:spacing w:after="0" w:line="259" w:lineRule="auto"/>
            </w:pPr>
            <w:r>
              <w:rPr>
                <w:rFonts w:ascii="Aptos" w:hAnsi="Aptos"/>
                <w:color w:val="1E252B"/>
                <w:sz w:val="17"/>
              </w:rPr>
              <w:t>Repository workflows implemented</w:t>
            </w:r>
          </w:p>
        </w:tc>
        <w:tc>
          <w:tcPr>
            <w:tcW w:type="dxa" w:w="4160"/>
            <w:shd w:fill="F7F9FB"/>
            <w:tcMar>
              <w:top w:w="100" w:type="dxa"/>
              <w:start w:w="130" w:type="dxa"/>
              <w:bottom w:w="100" w:type="dxa"/>
              <w:end w:w="130" w:type="dxa"/>
            </w:tcMar>
            <w:vAlign w:val="center"/>
          </w:tcPr>
          <w:p>
            <w:pPr>
              <w:spacing w:after="0" w:line="259" w:lineRule="auto"/>
            </w:pPr>
            <w:r>
              <w:rPr>
                <w:rFonts w:ascii="Aptos" w:hAnsi="Aptos"/>
                <w:color w:val="1E252B"/>
                <w:sz w:val="17"/>
              </w:rPr>
              <w:t>NOT CLAIMED</w:t>
            </w:r>
          </w:p>
        </w:tc>
      </w:tr>
      <w:tr>
        <w:trPr>
          <w:cantSplit/>
        </w:trPr>
        <w:tc>
          <w:tcPr>
            <w:tcW w:type="dxa" w:w="5200"/>
            <w:tcMar>
              <w:top w:w="100" w:type="dxa"/>
              <w:start w:w="130" w:type="dxa"/>
              <w:bottom w:w="100" w:type="dxa"/>
              <w:end w:w="130" w:type="dxa"/>
            </w:tcMar>
            <w:vAlign w:val="center"/>
          </w:tcPr>
          <w:p>
            <w:pPr>
              <w:spacing w:after="0" w:line="259" w:lineRule="auto"/>
            </w:pPr>
            <w:r>
              <w:rPr>
                <w:rFonts w:ascii="Aptos" w:hAnsi="Aptos"/>
                <w:color w:val="1E252B"/>
                <w:sz w:val="17"/>
              </w:rPr>
              <w:t>Live nodes changed</w:t>
            </w:r>
          </w:p>
        </w:tc>
        <w:tc>
          <w:tcPr>
            <w:tcW w:type="dxa" w:w="4160"/>
            <w:tcMar>
              <w:top w:w="100" w:type="dxa"/>
              <w:start w:w="130" w:type="dxa"/>
              <w:bottom w:w="100" w:type="dxa"/>
              <w:end w:w="130" w:type="dxa"/>
            </w:tcMar>
            <w:vAlign w:val="center"/>
          </w:tcPr>
          <w:p>
            <w:pPr>
              <w:spacing w:after="0" w:line="259" w:lineRule="auto"/>
            </w:pPr>
            <w:r>
              <w:rPr>
                <w:rFonts w:ascii="Aptos" w:hAnsi="Aptos"/>
                <w:color w:val="1E252B"/>
                <w:sz w:val="17"/>
              </w:rPr>
              <w:t>NO</w:t>
            </w:r>
          </w:p>
        </w:tc>
      </w:tr>
      <w:tr>
        <w:trPr>
          <w:cantSplit/>
        </w:trPr>
        <w:tc>
          <w:tcPr>
            <w:tcW w:type="dxa" w:w="5200"/>
            <w:shd w:fill="F7F9FB"/>
            <w:tcMar>
              <w:top w:w="100" w:type="dxa"/>
              <w:start w:w="130" w:type="dxa"/>
              <w:bottom w:w="100" w:type="dxa"/>
              <w:end w:w="130" w:type="dxa"/>
            </w:tcMar>
            <w:vAlign w:val="center"/>
          </w:tcPr>
          <w:p>
            <w:pPr>
              <w:spacing w:after="0" w:line="259" w:lineRule="auto"/>
            </w:pPr>
            <w:r>
              <w:rPr>
                <w:rFonts w:ascii="Aptos" w:hAnsi="Aptos"/>
                <w:color w:val="1E252B"/>
                <w:sz w:val="17"/>
              </w:rPr>
              <w:t>Operational qualification completed</w:t>
            </w:r>
          </w:p>
        </w:tc>
        <w:tc>
          <w:tcPr>
            <w:tcW w:type="dxa" w:w="4160"/>
            <w:shd w:fill="F7F9FB"/>
            <w:tcMar>
              <w:top w:w="100" w:type="dxa"/>
              <w:start w:w="130" w:type="dxa"/>
              <w:bottom w:w="100" w:type="dxa"/>
              <w:end w:w="130" w:type="dxa"/>
            </w:tcMar>
            <w:vAlign w:val="center"/>
          </w:tcPr>
          <w:p>
            <w:pPr>
              <w:spacing w:after="0" w:line="259" w:lineRule="auto"/>
            </w:pPr>
            <w:r>
              <w:rPr>
                <w:rFonts w:ascii="Aptos" w:hAnsi="Aptos"/>
                <w:color w:val="1E252B"/>
                <w:sz w:val="17"/>
              </w:rPr>
              <w:t>NO</w:t>
            </w:r>
          </w:p>
        </w:tc>
      </w:tr>
    </w:tbl>
    <w:p>
      <w:pPr>
        <w:spacing w:after="40"/>
      </w:pPr>
    </w:p>
    <w:p>
      <w:r>
        <w:br w:type="page"/>
      </w:r>
    </w:p>
    <w:p>
      <w:pPr>
        <w:pStyle w:val="Heading1"/>
        <w:keepNext/>
      </w:pPr>
      <w:r>
        <w:t>Appendix A · Interview decision record</w:t>
      </w:r>
    </w:p>
    <w:tbl>
      <w:tblPr>
        <w:tblStyle w:val="TableGrid"/>
        <w:tblW w:type="dxa" w:w="9360"/>
        <w:tblLayout w:type="fixed"/>
        <w:tblLook w:firstColumn="1" w:firstRow="1" w:lastColumn="0" w:lastRow="0" w:noHBand="0" w:noVBand="1" w:val="04A0"/>
        <w:jc w:val="left"/>
        <w:tblInd w:w="130" w:type="dxa"/>
      </w:tblPr>
      <w:tblGrid>
        <w:gridCol w:w="900"/>
        <w:gridCol w:w="2400"/>
        <w:gridCol w:w="6060"/>
      </w:tblGrid>
      <w:tr>
        <w:trPr>
          <w:tblHeader w:val="true"/>
          <w:cantSplit/>
        </w:trPr>
        <w:tc>
          <w:tcPr>
            <w:tcW w:type="dxa" w:w="900"/>
            <w:tcMar>
              <w:top w:w="100" w:type="dxa"/>
              <w:start w:w="130" w:type="dxa"/>
              <w:bottom w:w="100" w:type="dxa"/>
              <w:end w:w="130" w:type="dxa"/>
            </w:tcMar>
            <w:vAlign w:val="center"/>
            <w:shd w:fill="14213D"/>
          </w:tcPr>
          <w:p>
            <w:pPr>
              <w:spacing w:after="0"/>
              <w:jc w:val="left"/>
            </w:pPr>
            <w:r>
              <w:rPr>
                <w:rFonts w:ascii="Aptos" w:hAnsi="Aptos"/>
                <w:b/>
                <w:color w:val="FFFFFF"/>
                <w:sz w:val="16"/>
              </w:rPr>
              <w:t>Question</w:t>
            </w:r>
          </w:p>
        </w:tc>
        <w:tc>
          <w:tcPr>
            <w:tcW w:type="dxa" w:w="2400"/>
            <w:tcMar>
              <w:top w:w="100" w:type="dxa"/>
              <w:start w:w="130" w:type="dxa"/>
              <w:bottom w:w="100" w:type="dxa"/>
              <w:end w:w="130" w:type="dxa"/>
            </w:tcMar>
            <w:vAlign w:val="center"/>
            <w:shd w:fill="14213D"/>
          </w:tcPr>
          <w:p>
            <w:pPr>
              <w:spacing w:after="0"/>
              <w:jc w:val="left"/>
            </w:pPr>
            <w:r>
              <w:rPr>
                <w:rFonts w:ascii="Aptos" w:hAnsi="Aptos"/>
                <w:b/>
                <w:color w:val="FFFFFF"/>
                <w:sz w:val="16"/>
              </w:rPr>
              <w:t>Axis</w:t>
            </w:r>
          </w:p>
        </w:tc>
        <w:tc>
          <w:tcPr>
            <w:tcW w:type="dxa" w:w="6060"/>
            <w:tcMar>
              <w:top w:w="100" w:type="dxa"/>
              <w:start w:w="130" w:type="dxa"/>
              <w:bottom w:w="100" w:type="dxa"/>
              <w:end w:w="130" w:type="dxa"/>
            </w:tcMar>
            <w:vAlign w:val="center"/>
            <w:shd w:fill="14213D"/>
          </w:tcPr>
          <w:p>
            <w:pPr>
              <w:spacing w:after="0"/>
              <w:jc w:val="left"/>
            </w:pPr>
            <w:r>
              <w:rPr>
                <w:rFonts w:ascii="Aptos" w:hAnsi="Aptos"/>
                <w:b/>
                <w:color w:val="FFFFFF"/>
                <w:sz w:val="16"/>
              </w:rPr>
              <w:t>Decision</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Q1</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Primary purpose</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Autonomous operations system; location-independent workflow is supporting.</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Q2</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Autonomous domains</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Software engineering, application operations, infrastructure administration, continuity/incidents.</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Q3</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Control model</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Combined risk tiers, playbooks, validation, evidence, rollback, and human gates.</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Q4</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Mac absence authority</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Accepted: bounded continuation from previously authorized material; no new authority, policy, enrollment, capability grant, or execution authorization.</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Q5</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24-hour continuity</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Monitoring, self-healing, routine operations, approved deployment, and scheduled work.</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Q6</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Source of intent</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Accepted hybrid: agent/console proposals; GitHub durable desired state; Nyvora policy validates execution.</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Q7</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Scale</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Multiple development, testing, and operational environments across several nodes.</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Q8</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Isolation</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Rootless containers as the default; VM escape hatch only when shared-kernel isolation is insufficient.</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Q9</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Root of trust</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Accepted owner-rooted, per-environment trust with recoverable offline authority and short-lived credentials.</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Q10</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Catastrophic risk</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Accepted primary focus on runaway or compromised automation; protect equally against compromise, lockout, and state loss.</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Q11</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Recovery</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Accepted tiered recovery objectives.</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Q12</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Maintenance</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Complexity is acceptable if automated; routine operation remains low-touch.</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Q13</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Evidence</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Tamper-resistant, structured, reproducible action history.</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Q14</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Interface</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Accepted hierarchy: conversation, Console, GitHub, CLI, and break-glass.</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Q15</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GitHub role</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Authoritative durable desired-state plane plus review, workflow, release, and recovery controls; not owner authority or runtime truth.</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Q16</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GitHub outage</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Continue cached approved automation only.</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Q17</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Control placement</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Distributed ASUS-VPS execution/continuity functions; Mac owner plane; no unsafe two-node consensus.</w:t>
            </w:r>
          </w:p>
        </w:tc>
      </w:tr>
      <w:tr>
        <w:trPr>
          <w:cantSplit/>
        </w:trPr>
        <w:tc>
          <w:tcPr>
            <w:tcW w:type="dxa" w:w="900"/>
            <w:shd w:fill="F7F9FB"/>
            <w:tcMar>
              <w:top w:w="100" w:type="dxa"/>
              <w:start w:w="130" w:type="dxa"/>
              <w:bottom w:w="100" w:type="dxa"/>
              <w:end w:w="130" w:type="dxa"/>
            </w:tcMar>
            <w:vAlign w:val="center"/>
          </w:tcPr>
          <w:p>
            <w:pPr>
              <w:spacing w:after="0" w:line="259" w:lineRule="auto"/>
            </w:pPr>
            <w:r>
              <w:rPr>
                <w:rFonts w:ascii="Aptos" w:hAnsi="Aptos"/>
                <w:color w:val="1E252B"/>
                <w:sz w:val="15"/>
              </w:rPr>
              <w:t>Q18</w:t>
            </w:r>
          </w:p>
        </w:tc>
        <w:tc>
          <w:tcPr>
            <w:tcW w:type="dxa" w:w="2400"/>
            <w:shd w:fill="F7F9FB"/>
            <w:tcMar>
              <w:top w:w="100" w:type="dxa"/>
              <w:start w:w="130" w:type="dxa"/>
              <w:bottom w:w="100" w:type="dxa"/>
              <w:end w:w="130" w:type="dxa"/>
            </w:tcMar>
            <w:vAlign w:val="center"/>
          </w:tcPr>
          <w:p>
            <w:pPr>
              <w:spacing w:after="0" w:line="259" w:lineRule="auto"/>
            </w:pPr>
            <w:r>
              <w:rPr>
                <w:rFonts w:ascii="Aptos" w:hAnsi="Aptos"/>
                <w:color w:val="1E252B"/>
                <w:sz w:val="15"/>
              </w:rPr>
              <w:t>Mandatory approval</w:t>
            </w:r>
          </w:p>
        </w:tc>
        <w:tc>
          <w:tcPr>
            <w:tcW w:type="dxa" w:w="6060"/>
            <w:shd w:fill="F7F9FB"/>
            <w:tcMar>
              <w:top w:w="100" w:type="dxa"/>
              <w:start w:w="130" w:type="dxa"/>
              <w:bottom w:w="100" w:type="dxa"/>
              <w:end w:w="130" w:type="dxa"/>
            </w:tcMar>
            <w:vAlign w:val="center"/>
          </w:tcPr>
          <w:p>
            <w:pPr>
              <w:spacing w:after="0" w:line="259" w:lineRule="auto"/>
            </w:pPr>
            <w:r>
              <w:rPr>
                <w:rFonts w:ascii="Aptos" w:hAnsi="Aptos"/>
                <w:color w:val="1E252B"/>
                <w:sz w:val="15"/>
              </w:rPr>
              <w:t>R4 actions, defined by unproven bounded recovery, always require owner approval.</w:t>
            </w:r>
          </w:p>
        </w:tc>
      </w:tr>
      <w:tr>
        <w:trPr>
          <w:cantSplit/>
        </w:trPr>
        <w:tc>
          <w:tcPr>
            <w:tcW w:type="dxa" w:w="900"/>
            <w:tcMar>
              <w:top w:w="100" w:type="dxa"/>
              <w:start w:w="130" w:type="dxa"/>
              <w:bottom w:w="100" w:type="dxa"/>
              <w:end w:w="130" w:type="dxa"/>
            </w:tcMar>
            <w:vAlign w:val="center"/>
          </w:tcPr>
          <w:p>
            <w:pPr>
              <w:spacing w:after="0" w:line="259" w:lineRule="auto"/>
            </w:pPr>
            <w:r>
              <w:rPr>
                <w:rFonts w:ascii="Aptos" w:hAnsi="Aptos"/>
                <w:color w:val="1E252B"/>
                <w:sz w:val="15"/>
              </w:rPr>
              <w:t>Q19</w:t>
            </w:r>
          </w:p>
        </w:tc>
        <w:tc>
          <w:tcPr>
            <w:tcW w:type="dxa" w:w="2400"/>
            <w:tcMar>
              <w:top w:w="100" w:type="dxa"/>
              <w:start w:w="130" w:type="dxa"/>
              <w:bottom w:w="100" w:type="dxa"/>
              <w:end w:w="130" w:type="dxa"/>
            </w:tcMar>
            <w:vAlign w:val="center"/>
          </w:tcPr>
          <w:p>
            <w:pPr>
              <w:spacing w:after="0" w:line="259" w:lineRule="auto"/>
            </w:pPr>
            <w:r>
              <w:rPr>
                <w:rFonts w:ascii="Aptos" w:hAnsi="Aptos"/>
                <w:color w:val="1E252B"/>
                <w:sz w:val="15"/>
              </w:rPr>
              <w:t>Completion standard</w:t>
            </w:r>
          </w:p>
        </w:tc>
        <w:tc>
          <w:tcPr>
            <w:tcW w:type="dxa" w:w="6060"/>
            <w:tcMar>
              <w:top w:w="100" w:type="dxa"/>
              <w:start w:w="130" w:type="dxa"/>
              <w:bottom w:w="100" w:type="dxa"/>
              <w:end w:w="130" w:type="dxa"/>
            </w:tcMar>
            <w:vAlign w:val="center"/>
          </w:tcPr>
          <w:p>
            <w:pPr>
              <w:spacing w:after="0" w:line="259" w:lineRule="auto"/>
            </w:pPr>
            <w:r>
              <w:rPr>
                <w:rFonts w:ascii="Aptos" w:hAnsi="Aptos"/>
                <w:color w:val="1E252B"/>
                <w:sz w:val="15"/>
              </w:rPr>
              <w:t>Adopted architecture baseline package; implementation and live qualification remain unproven.</w:t>
            </w:r>
          </w:p>
        </w:tc>
      </w:tr>
    </w:tbl>
    <w:p>
      <w:pPr>
        <w:spacing w:after="40"/>
      </w:pPr>
    </w:p>
    <w:p>
      <w:pPr>
        <w:pStyle w:val="Heading1"/>
        <w:keepNext/>
      </w:pPr>
      <w:r>
        <w:t>Appendix B · Canonical action-envelope example</w:t>
      </w:r>
    </w:p>
    <w:p>
      <w:pPr>
        <w:pStyle w:val="NyvoraCode"/>
        <w:shd w:fill="F0F3F6"/>
        <w:keepLines/>
        <w:pBdr>
          <w:left w:val="single" w:sz="18" w:space="8" w:color="D9E0E7"/>
        </w:pBdr>
      </w:pPr>
      <w:r>
        <w:rPr>
          <w:rFonts w:ascii="Liberation Mono" w:hAnsi="Liberation Mono"/>
          <w:color w:val="14213D"/>
          <w:sz w:val="17"/>
        </w:rPr>
        <w:t>action_id: nyv-act-&lt;uuid&gt;</w:t>
        <w:br/>
        <w:t>intent: {repo, commit, workflow_run, requester}</w:t>
        <w:br/>
        <w:t>target: {environment, node_selector, resource_selector}</w:t>
        <w:br/>
        <w:t>artifact: {digest, signature, provenance}</w:t>
        <w:br/>
        <w:t>policy: {version, risk_class, capabilities, approval_proof?}</w:t>
        <w:br/>
        <w:t>lease: {environment, holder, fencing_token, expires_at}</w:t>
        <w:br/>
        <w:t>preconditions: [...]</w:t>
        <w:br/>
        <w:t>operations: [...]</w:t>
        <w:br/>
        <w:t>rollback: {plan_ref, restore_ref, abort_conditions}</w:t>
        <w:br/>
        <w:t>verification: {postconditions, health_checks}</w:t>
        <w:br/>
        <w:t>validity: {issued_at, not_before, expires_at, replay_nonce}</w:t>
        <w:br/>
        <w:t>evidence: {receipt_destinations, retention_class}</w:t>
      </w:r>
    </w:p>
    <w:p>
      <w:pPr>
        <w:pStyle w:val="Heading1"/>
        <w:keepNext/>
      </w:pPr>
      <w:r>
        <w:t>Appendix C · Glossary</w:t>
      </w:r>
    </w:p>
    <w:tbl>
      <w:tblPr>
        <w:tblStyle w:val="TableGrid"/>
        <w:tblW w:type="dxa" w:w="9360"/>
        <w:tblLayout w:type="fixed"/>
        <w:tblLook w:firstColumn="1" w:firstRow="1" w:lastColumn="0" w:lastRow="0" w:noHBand="0" w:noVBand="1" w:val="04A0"/>
        <w:jc w:val="left"/>
        <w:tblInd w:w="130" w:type="dxa"/>
      </w:tblPr>
      <w:tblGrid>
        <w:gridCol w:w="2100"/>
        <w:gridCol w:w="7260"/>
      </w:tblGrid>
      <w:tr>
        <w:trPr>
          <w:tblHeader w:val="true"/>
          <w:cantSplit/>
        </w:trPr>
        <w:tc>
          <w:tcPr>
            <w:tcW w:type="dxa" w:w="2100"/>
            <w:tcMar>
              <w:top w:w="100" w:type="dxa"/>
              <w:start w:w="130" w:type="dxa"/>
              <w:bottom w:w="100" w:type="dxa"/>
              <w:end w:w="130" w:type="dxa"/>
            </w:tcMar>
            <w:vAlign w:val="center"/>
            <w:shd w:fill="14213D"/>
          </w:tcPr>
          <w:p>
            <w:pPr>
              <w:spacing w:after="0"/>
              <w:jc w:val="left"/>
            </w:pPr>
            <w:r>
              <w:rPr>
                <w:rFonts w:ascii="Aptos" w:hAnsi="Aptos"/>
                <w:b/>
                <w:color w:val="FFFFFF"/>
                <w:sz w:val="16"/>
              </w:rPr>
              <w:t>Term</w:t>
            </w:r>
          </w:p>
        </w:tc>
        <w:tc>
          <w:tcPr>
            <w:tcW w:type="dxa" w:w="7260"/>
            <w:tcMar>
              <w:top w:w="100" w:type="dxa"/>
              <w:start w:w="130" w:type="dxa"/>
              <w:bottom w:w="100" w:type="dxa"/>
              <w:end w:w="130" w:type="dxa"/>
            </w:tcMar>
            <w:vAlign w:val="center"/>
            <w:shd w:fill="14213D"/>
          </w:tcPr>
          <w:p>
            <w:pPr>
              <w:spacing w:after="0"/>
              <w:jc w:val="left"/>
            </w:pPr>
            <w:r>
              <w:rPr>
                <w:rFonts w:ascii="Aptos" w:hAnsi="Aptos"/>
                <w:b/>
                <w:color w:val="FFFFFF"/>
                <w:sz w:val="16"/>
              </w:rPr>
              <w:t>Definition</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7"/>
              </w:rPr>
              <w:t>Action envelope</w:t>
            </w:r>
          </w:p>
        </w:tc>
        <w:tc>
          <w:tcPr>
            <w:tcW w:type="dxa" w:w="7260"/>
            <w:tcMar>
              <w:top w:w="100" w:type="dxa"/>
              <w:start w:w="130" w:type="dxa"/>
              <w:bottom w:w="100" w:type="dxa"/>
              <w:end w:w="130" w:type="dxa"/>
            </w:tcMar>
            <w:vAlign w:val="center"/>
          </w:tcPr>
          <w:p>
            <w:pPr>
              <w:spacing w:after="0" w:line="259" w:lineRule="auto"/>
            </w:pPr>
            <w:r>
              <w:rPr>
                <w:rFonts w:ascii="Aptos" w:hAnsi="Aptos"/>
                <w:color w:val="1E252B"/>
                <w:sz w:val="17"/>
              </w:rPr>
              <w:t>Signed, scoped, time-bounded declaration authorizing one controlled mutation.</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7"/>
              </w:rPr>
              <w:t>Authority</w:t>
            </w:r>
          </w:p>
        </w:tc>
        <w:tc>
          <w:tcPr>
            <w:tcW w:type="dxa" w:w="7260"/>
            <w:shd w:fill="F7F9FB"/>
            <w:tcMar>
              <w:top w:w="100" w:type="dxa"/>
              <w:start w:w="130" w:type="dxa"/>
              <w:bottom w:w="100" w:type="dxa"/>
              <w:end w:w="130" w:type="dxa"/>
            </w:tcMar>
            <w:vAlign w:val="center"/>
          </w:tcPr>
          <w:p>
            <w:pPr>
              <w:spacing w:after="0" w:line="259" w:lineRule="auto"/>
            </w:pPr>
            <w:r>
              <w:rPr>
                <w:rFonts w:ascii="Aptos" w:hAnsi="Aptos"/>
                <w:color w:val="1E252B"/>
                <w:sz w:val="17"/>
              </w:rPr>
              <w:t>The right to approve or cause a system change; distinct from storage or transport.</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7"/>
              </w:rPr>
              <w:t>Desired state</w:t>
            </w:r>
          </w:p>
        </w:tc>
        <w:tc>
          <w:tcPr>
            <w:tcW w:type="dxa" w:w="7260"/>
            <w:tcMar>
              <w:top w:w="100" w:type="dxa"/>
              <w:start w:w="130" w:type="dxa"/>
              <w:bottom w:w="100" w:type="dxa"/>
              <w:end w:w="130" w:type="dxa"/>
            </w:tcMar>
            <w:vAlign w:val="center"/>
          </w:tcPr>
          <w:p>
            <w:pPr>
              <w:spacing w:after="0" w:line="259" w:lineRule="auto"/>
            </w:pPr>
            <w:r>
              <w:rPr>
                <w:rFonts w:ascii="Aptos" w:hAnsi="Aptos"/>
                <w:color w:val="1E252B"/>
                <w:sz w:val="17"/>
              </w:rPr>
              <w:t>Protected declaration of what Nyvora should make true.</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7"/>
              </w:rPr>
              <w:t>Evidence receipt</w:t>
            </w:r>
          </w:p>
        </w:tc>
        <w:tc>
          <w:tcPr>
            <w:tcW w:type="dxa" w:w="7260"/>
            <w:shd w:fill="F7F9FB"/>
            <w:tcMar>
              <w:top w:w="100" w:type="dxa"/>
              <w:start w:w="130" w:type="dxa"/>
              <w:bottom w:w="100" w:type="dxa"/>
              <w:end w:w="130" w:type="dxa"/>
            </w:tcMar>
            <w:vAlign w:val="center"/>
          </w:tcPr>
          <w:p>
            <w:pPr>
              <w:spacing w:after="0" w:line="259" w:lineRule="auto"/>
            </w:pPr>
            <w:r>
              <w:rPr>
                <w:rFonts w:ascii="Aptos" w:hAnsi="Aptos"/>
                <w:color w:val="1E252B"/>
                <w:sz w:val="17"/>
              </w:rPr>
              <w:t>Signed structured record of an action's provenance, execution, verification, and outcome.</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7"/>
              </w:rPr>
              <w:t>Fencing</w:t>
            </w:r>
          </w:p>
        </w:tc>
        <w:tc>
          <w:tcPr>
            <w:tcW w:type="dxa" w:w="7260"/>
            <w:tcMar>
              <w:top w:w="100" w:type="dxa"/>
              <w:start w:w="130" w:type="dxa"/>
              <w:bottom w:w="100" w:type="dxa"/>
              <w:end w:w="130" w:type="dxa"/>
            </w:tcMar>
            <w:vAlign w:val="center"/>
          </w:tcPr>
          <w:p>
            <w:pPr>
              <w:spacing w:after="0" w:line="259" w:lineRule="auto"/>
            </w:pPr>
            <w:r>
              <w:rPr>
                <w:rFonts w:ascii="Aptos" w:hAnsi="Aptos"/>
                <w:color w:val="1E252B"/>
                <w:sz w:val="17"/>
              </w:rPr>
              <w:t>Mechanism that prevents a previous controller from continuing to write after authority changes.</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7"/>
              </w:rPr>
              <w:t>Irreversible</w:t>
            </w:r>
          </w:p>
        </w:tc>
        <w:tc>
          <w:tcPr>
            <w:tcW w:type="dxa" w:w="7260"/>
            <w:shd w:fill="F7F9FB"/>
            <w:tcMar>
              <w:top w:w="100" w:type="dxa"/>
              <w:start w:w="130" w:type="dxa"/>
              <w:bottom w:w="100" w:type="dxa"/>
              <w:end w:w="130" w:type="dxa"/>
            </w:tcMar>
            <w:vAlign w:val="center"/>
          </w:tcPr>
          <w:p>
            <w:pPr>
              <w:spacing w:after="0" w:line="259" w:lineRule="auto"/>
            </w:pPr>
            <w:r>
              <w:rPr>
                <w:rFonts w:ascii="Aptos" w:hAnsi="Aptos"/>
                <w:color w:val="1E252B"/>
                <w:sz w:val="17"/>
              </w:rPr>
              <w:t>Lacking a proven bounded recovery path within the applicable recovery objective.</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7"/>
              </w:rPr>
              <w:t>Owner plane</w:t>
            </w:r>
          </w:p>
        </w:tc>
        <w:tc>
          <w:tcPr>
            <w:tcW w:type="dxa" w:w="7260"/>
            <w:tcMar>
              <w:top w:w="100" w:type="dxa"/>
              <w:start w:w="130" w:type="dxa"/>
              <w:bottom w:w="100" w:type="dxa"/>
              <w:end w:w="130" w:type="dxa"/>
            </w:tcMar>
            <w:vAlign w:val="center"/>
          </w:tcPr>
          <w:p>
            <w:pPr>
              <w:spacing w:after="0" w:line="259" w:lineRule="auto"/>
            </w:pPr>
            <w:r>
              <w:rPr>
                <w:rFonts w:ascii="Aptos" w:hAnsi="Aptos"/>
                <w:color w:val="1E252B"/>
                <w:sz w:val="17"/>
              </w:rPr>
              <w:t>High-trust human interface and recovery authority controlled by Vahid.</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7"/>
              </w:rPr>
              <w:t>Reconciliation</w:t>
            </w:r>
          </w:p>
        </w:tc>
        <w:tc>
          <w:tcPr>
            <w:tcW w:type="dxa" w:w="7260"/>
            <w:shd w:fill="F7F9FB"/>
            <w:tcMar>
              <w:top w:w="100" w:type="dxa"/>
              <w:start w:w="130" w:type="dxa"/>
              <w:bottom w:w="100" w:type="dxa"/>
              <w:end w:w="130" w:type="dxa"/>
            </w:tcMar>
            <w:vAlign w:val="center"/>
          </w:tcPr>
          <w:p>
            <w:pPr>
              <w:spacing w:after="0" w:line="259" w:lineRule="auto"/>
            </w:pPr>
            <w:r>
              <w:rPr>
                <w:rFonts w:ascii="Aptos" w:hAnsi="Aptos"/>
                <w:color w:val="1E252B"/>
                <w:sz w:val="17"/>
              </w:rPr>
              <w:t>Repeated comparison of desired and observed state followed by policy-authorized convergence.</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7"/>
              </w:rPr>
              <w:t>Rootless container</w:t>
            </w:r>
          </w:p>
        </w:tc>
        <w:tc>
          <w:tcPr>
            <w:tcW w:type="dxa" w:w="7260"/>
            <w:tcMar>
              <w:top w:w="100" w:type="dxa"/>
              <w:start w:w="130" w:type="dxa"/>
              <w:bottom w:w="100" w:type="dxa"/>
              <w:end w:w="130" w:type="dxa"/>
            </w:tcMar>
            <w:vAlign w:val="center"/>
          </w:tcPr>
          <w:p>
            <w:pPr>
              <w:spacing w:after="0" w:line="259" w:lineRule="auto"/>
            </w:pPr>
            <w:r>
              <w:rPr>
                <w:rFonts w:ascii="Aptos" w:hAnsi="Aptos"/>
                <w:color w:val="1E252B"/>
                <w:sz w:val="17"/>
              </w:rPr>
              <w:t>Container executed without granting its runtime process host-root identity.</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7"/>
              </w:rPr>
              <w:t>Signed cache</w:t>
            </w:r>
          </w:p>
        </w:tc>
        <w:tc>
          <w:tcPr>
            <w:tcW w:type="dxa" w:w="7260"/>
            <w:shd w:fill="F7F9FB"/>
            <w:tcMar>
              <w:top w:w="100" w:type="dxa"/>
              <w:start w:w="130" w:type="dxa"/>
              <w:bottom w:w="100" w:type="dxa"/>
              <w:end w:w="130" w:type="dxa"/>
            </w:tcMar>
            <w:vAlign w:val="center"/>
          </w:tcPr>
          <w:p>
            <w:pPr>
              <w:spacing w:after="0" w:line="259" w:lineRule="auto"/>
            </w:pPr>
            <w:r>
              <w:rPr>
                <w:rFonts w:ascii="Aptos" w:hAnsi="Aptos"/>
                <w:color w:val="1E252B"/>
                <w:sz w:val="17"/>
              </w:rPr>
              <w:t>Locally retained, verified desired-state material permitted for bounded outage continuity.</w:t>
            </w:r>
          </w:p>
        </w:tc>
      </w:tr>
      <w:tr>
        <w:trPr>
          <w:cantSplit/>
        </w:trPr>
        <w:tc>
          <w:tcPr>
            <w:tcW w:type="dxa" w:w="2100"/>
            <w:tcMar>
              <w:top w:w="100" w:type="dxa"/>
              <w:start w:w="130" w:type="dxa"/>
              <w:bottom w:w="100" w:type="dxa"/>
              <w:end w:w="130" w:type="dxa"/>
            </w:tcMar>
            <w:vAlign w:val="center"/>
          </w:tcPr>
          <w:p>
            <w:pPr>
              <w:spacing w:after="0" w:line="259" w:lineRule="auto"/>
            </w:pPr>
            <w:r>
              <w:rPr>
                <w:rFonts w:ascii="Aptos" w:hAnsi="Aptos"/>
                <w:color w:val="1E252B"/>
                <w:sz w:val="17"/>
              </w:rPr>
              <w:t>Single writer</w:t>
            </w:r>
          </w:p>
        </w:tc>
        <w:tc>
          <w:tcPr>
            <w:tcW w:type="dxa" w:w="7260"/>
            <w:tcMar>
              <w:top w:w="100" w:type="dxa"/>
              <w:start w:w="130" w:type="dxa"/>
              <w:bottom w:w="100" w:type="dxa"/>
              <w:end w:w="130" w:type="dxa"/>
            </w:tcMar>
            <w:vAlign w:val="center"/>
          </w:tcPr>
          <w:p>
            <w:pPr>
              <w:spacing w:after="0" w:line="259" w:lineRule="auto"/>
            </w:pPr>
            <w:r>
              <w:rPr>
                <w:rFonts w:ascii="Aptos" w:hAnsi="Aptos"/>
                <w:color w:val="1E252B"/>
                <w:sz w:val="17"/>
              </w:rPr>
              <w:t>Exactly one controller permitted to mutate an environment at a time.</w:t>
            </w:r>
          </w:p>
        </w:tc>
      </w:tr>
      <w:tr>
        <w:trPr>
          <w:cantSplit/>
        </w:trPr>
        <w:tc>
          <w:tcPr>
            <w:tcW w:type="dxa" w:w="2100"/>
            <w:shd w:fill="F7F9FB"/>
            <w:tcMar>
              <w:top w:w="100" w:type="dxa"/>
              <w:start w:w="130" w:type="dxa"/>
              <w:bottom w:w="100" w:type="dxa"/>
              <w:end w:w="130" w:type="dxa"/>
            </w:tcMar>
            <w:vAlign w:val="center"/>
          </w:tcPr>
          <w:p>
            <w:pPr>
              <w:spacing w:after="0" w:line="259" w:lineRule="auto"/>
            </w:pPr>
            <w:r>
              <w:rPr>
                <w:rFonts w:ascii="Aptos" w:hAnsi="Aptos"/>
                <w:color w:val="1E252B"/>
                <w:sz w:val="17"/>
              </w:rPr>
              <w:t>Satisfice</w:t>
            </w:r>
          </w:p>
        </w:tc>
        <w:tc>
          <w:tcPr>
            <w:tcW w:type="dxa" w:w="7260"/>
            <w:shd w:fill="F7F9FB"/>
            <w:tcMar>
              <w:top w:w="100" w:type="dxa"/>
              <w:start w:w="130" w:type="dxa"/>
              <w:bottom w:w="100" w:type="dxa"/>
              <w:end w:w="130" w:type="dxa"/>
            </w:tcMar>
            <w:vAlign w:val="center"/>
          </w:tcPr>
          <w:p>
            <w:pPr>
              <w:spacing w:after="0" w:line="259" w:lineRule="auto"/>
            </w:pPr>
            <w:r>
              <w:rPr>
                <w:rFonts w:ascii="Aptos" w:hAnsi="Aptos"/>
                <w:color w:val="1E252B"/>
                <w:sz w:val="17"/>
              </w:rPr>
              <w:t>Design to satisfy and suffice for the intended personal platform, without maximizing complexity.</w:t>
            </w:r>
          </w:p>
        </w:tc>
      </w:tr>
    </w:tbl>
    <w:p>
      <w:pPr>
        <w:spacing w:after="40"/>
      </w:pPr>
    </w:p>
    <w:p>
      <w:pPr>
        <w:pStyle w:val="NyvoraCallout"/>
        <w:shd w:fill="DDF3F1"/>
        <w:keepLines/>
        <w:pBdr>
          <w:left w:val="single" w:sz="18" w:space="8" w:color="248A84"/>
        </w:pBdr>
      </w:pPr>
      <w:r>
        <w:rPr>
          <w:rFonts w:ascii="Aptos" w:hAnsi="Aptos"/>
          <w:b/>
          <w:color w:val="248A84"/>
          <w:sz w:val="18"/>
        </w:rPr>
        <w:t xml:space="preserve">END STATE  </w:t>
      </w:r>
      <w:r>
        <w:rPr>
          <w:rFonts w:ascii="Aptos" w:hAnsi="Aptos"/>
          <w:color w:val="1E252B"/>
          <w:sz w:val="21"/>
        </w:rPr>
        <w:t>As adopted, this package answers what Nyvora is, where authority lives, how autonomous change is controlled, what remains available during failure, and what the next implementation stages must prove.</w:t>
      </w:r>
    </w:p>
    <w:sectPr w:rsidR="00FC693F" w:rsidRPr="0006063C" w:rsidSect="00034616">
      <w:headerReference w:type="default" r:id="rId11"/>
      <w:footerReference w:type="default" r:id="rId12"/>
      <w:pgSz w:w="12240" w:h="15840"/>
      <w:pgMar w:top="1152" w:right="1267" w:bottom="1152"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pPr>
    </w:lvl>
  </w:abstractNum>
  <w:num w:numId="10">
    <w:abstractNumId w:val="9"/>
  </w:num>
  <w:abstractNum w:abstractNumId="10">
    <w:multiLevelType w:val="singleLevel"/>
    <w:lvl w:ilvl="0">
      <w:start w:val="1"/>
      <w:numFmt w:val="decimal"/>
      <w:lvlText w:val="%1."/>
      <w:suff w:val="tab"/>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tos" w:hAnsi="Aptos"/>
      <w:color w:val="1E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5A94"/>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48A8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yvoraList">
    <w:name w:val="Nyvora List"/>
    <w:basedOn w:val="Normal"/>
    <w:pPr>
      <w:spacing w:after="100" w:line="269" w:lineRule="auto"/>
      <w:ind w:left="720" w:hanging="360"/>
    </w:pPr>
  </w:style>
  <w:style w:type="paragraph" w:customStyle="1" w:styleId="NyvoraCallout">
    <w:name w:val="Nyvora Callout"/>
    <w:basedOn w:val="Normal"/>
    <w:pPr>
      <w:spacing w:before="160" w:after="200" w:line="269" w:lineRule="auto"/>
      <w:ind w:left="144" w:right="144"/>
    </w:pPr>
  </w:style>
  <w:style w:type="paragraph" w:customStyle="1" w:styleId="NyvoraCode">
    <w:name w:val="Nyvora Code"/>
    <w:pPr>
      <w:spacing w:before="120" w:after="200" w:line="252" w:lineRule="auto"/>
      <w:ind w:left="173" w:right="173"/>
    </w:pPr>
  </w:style>
  <w:style w:type="paragraph" w:customStyle="1" w:styleId="NyvoraCaption">
    <w:name w:val="Nyvora Caption"/>
    <w:pPr>
      <w:keepNext w:val="0"/>
      <w:spacing w:before="60" w:after="180"/>
    </w:pPr>
  </w:style>
  <w:style w:type="paragraph" w:customStyle="1" w:styleId="NyvoraMetadata">
    <w:name w:val="Nyvora Metadata"/>
    <w:pPr>
      <w:spacing w:after="40" w:line="24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Nyvora Architectural Baseline v1.0</dc:title>
  <dc:subject>Architecture package for Nyvora autonomous operations</dc:subject>
  <dc:creator>Wade</dc:creator>
  <cp:keywords>Nyvora, architecture, autonomous operations, GitHubOps, control plane</cp:keywords>
  <dc:description>generated by python-docx</dc:description>
  <cp:lastModifiedBy/>
  <cp:revision>1</cp:revision>
  <dcterms:created xsi:type="dcterms:W3CDTF">2013-12-23T23:15:00Z</dcterms:created>
  <dcterms:modified xsi:type="dcterms:W3CDTF">2013-12-23T23:15:00Z</dcterms:modified>
  <cp:category/>
</cp:coreProperties>
</file>