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single" w:color="1E8449" w:sz="12"/>
              <w:right w:val="none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52"/>
                <w:szCs w:val="52"/>
              </w:rPr>
              <w:t xml:space="preserve">Marcus Chen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26567"/>
                <w:sz w:val="24"/>
                <w:szCs w:val="24"/>
              </w:rPr>
              <w:t xml:space="preserve">MLOps &amp; Platform Engineer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1E8449" w:sz="12"/>
              <w:right w:val="none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marcus.chen@protonmail.com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+1 (206) 439-7712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Seattle, WA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26567"/>
                <w:sz w:val="18"/>
                <w:szCs w:val="18"/>
              </w:rPr>
              <w:t xml:space="preserve">github.com/marcus-mlops</w:t>
            </w:r>
          </w:p>
        </w:tc>
      </w:tr>
    </w:tbl>
    <w:p>
      <w:pPr>
        <w:spacing w:after="120"/>
      </w:pPr>
    </w:p>
    <w:p>
      <w:pPr>
        <w:shd w:fill="1E8449" w:val="clear"/>
        <w:spacing w:before="22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CORE COMPETENCIES  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CI/CD &amp; GitOps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GitHub Actions, ArgoCD, Jenkins, Tekton, Helm, Kustomize — 0-downtime rollouts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Container &amp; Orch.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Docker, Kubernetes (EKS, GKE), Istio service mesh, Knative, KEDA autoscaling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ML Lifecycle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MLflow (tracking, registry), Kubeflow Pipelines, SageMaker Pipelines, DVC, Great Expectations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Monitoring &amp; Obs.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Prometheus, Grafana, Datadog, OpenTelemetry — model drift detection, data quality alerting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Cloud Platforms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AWS (EKS, S3, Lambda, ECR, SageMaker), GCP (GKE, Vertex AI, BigQuery, Cloud Run)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Apache Airflow, Spark, Kafka, dbt, Snowflake, Redshift, PostgreSQL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Terraform, Pulumi, Ansible — IaC for reproducible ML environments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ML Basics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scikit-learn, PyTorch (inference optimization), ONNX, TensorRT, vLLM (deployment)</w:t>
            </w:r>
          </w:p>
        </w:tc>
      </w:tr>
      <w:tr>
        <w:tc>
          <w:tcPr>
            <w:tcW w:type="dxa" w:w="2200"/>
            <w:tcBorders>
              <w:top w:val="single" w:color="ABEBC6" w:sz="4"/>
              <w:left w:val="single" w:color="ABEBC6" w:sz="4"/>
              <w:bottom w:val="single" w:color="ABEBC6" w:sz="4"/>
              <w:right w:val="single" w:color="ABEBC6" w:sz="4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A32"/>
                <w:sz w:val="18"/>
                <w:szCs w:val="18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ABEBC6" w:sz="4"/>
              <w:left w:val="none"/>
              <w:bottom w:val="single" w:color="ABEBC6" w:sz="4"/>
              <w:right w:val="single" w:color="ABEB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Python (expert), Go (intermediate), bash, YAML</w:t>
            </w:r>
          </w:p>
        </w:tc>
      </w:tr>
    </w:tbl>
    <w:p>
      <w:pPr>
        <w:spacing w:after="60"/>
      </w:pPr>
    </w:p>
    <w:p>
      <w:pPr>
        <w:shd w:fill="1E8449" w:val="clear"/>
        <w:spacing w:before="22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KEY ACHIEVEMENTS BY COMPETENCY  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ML Platform &amp; Infrastructure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Architected internal ML platform serving 40+ data scientists across 3 product lines; reduced model-to-production time from 6 weeks to 4 days.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Designed Kubeflow-based training pipeline with automatic hyperparameter tuning; cut experiment turnaround by 70%.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Built KEDA-based autoscaling for inference workloads, reducing idle GPU costs by $220K/year on AWS EKS.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Monitoring &amp; Reliability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Implemented real-time data drift detection using KL divergence + PSI; integrated alerting into PagerDuty with SLA-based escalation.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Built model performance dashboards in Grafana for 12 production models; reduced MTTR for model incidents from 4h to 35min.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Established canary deployment framework for ML models achieving 99.95% rollout success rate with zero major incidents.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145A32"/>
          <w:sz w:val="20"/>
          <w:szCs w:val="20"/>
        </w:rPr>
        <w:t xml:space="preserve">LLM Deployment &amp; Inference Optimization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Deployed vLLM-based serving for LLaMA-2 7B on GKE; achieved 4x throughput vs naive HuggingFace serving via PagedAttention.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Containerized and shipped 6 LLM-powered microservices (summarization, classification, extraction); integrated with upstream REST APIs.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Note: Strong on serving and deployment; model architecture design and training are handled by partner ML scientists.</w:t>
      </w:r>
    </w:p>
    <w:p>
      <w:pPr>
        <w:shd w:fill="1E8449" w:val="clear"/>
        <w:spacing w:before="22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EMPLOYMENT HISTORY  </w:t>
      </w: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Senior MLOps Engineer</w:t>
      </w: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  —  Zillow Group, Seattle, WA</w:t>
      </w:r>
      <w:r>
        <w:rPr>
          <w:rFonts w:ascii="Calibri" w:cs="Calibri" w:eastAsia="Calibri" w:hAnsi="Calibri"/>
          <w:color w:val="626567"/>
          <w:sz w:val="18"/>
          <w:szCs w:val="18"/>
        </w:rPr>
        <w:t xml:space="preserve">  |  Feb 2022 – Present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Owned ML platform infrastructure serving real-estate pricing, recommendation, and lead-scoring models at 99.9% SLA.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Led migration of legacy SageMaker pipelines to Kubeflow + Argo; reduced pipeline runtime by 45%.</w:t>
      </w: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ML Platform Engineer</w:t>
      </w: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  —  Expedia Group, Seattle, WA</w:t>
      </w:r>
      <w:r>
        <w:rPr>
          <w:rFonts w:ascii="Calibri" w:cs="Calibri" w:eastAsia="Calibri" w:hAnsi="Calibri"/>
          <w:color w:val="626567"/>
          <w:sz w:val="18"/>
          <w:szCs w:val="18"/>
        </w:rPr>
        <w:t xml:space="preserve">  |  Jul 2019 – Jan 2022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Built CI/CD pipelines for 20+ ML models; automated testing with Great Expectations + custom model validation hooks.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Managed Spark cluster on EMR for feature engineering; reduced compute costs 30% via spot instance strategy.</w:t>
      </w:r>
    </w:p>
    <w:p>
      <w:pPr>
        <w:spacing w:before="120" w:after="3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DevOps / Platform Engineer</w:t>
      </w:r>
      <w:r>
        <w:rPr>
          <w:rFonts w:ascii="Calibri" w:cs="Calibri" w:eastAsia="Calibri" w:hAnsi="Calibri"/>
          <w:i/>
          <w:iCs/>
          <w:color w:val="626567"/>
          <w:sz w:val="18"/>
          <w:szCs w:val="18"/>
        </w:rPr>
        <w:t xml:space="preserve">  —  Smartsheet, Bellevue, WA</w:t>
      </w:r>
      <w:r>
        <w:rPr>
          <w:rFonts w:ascii="Calibri" w:cs="Calibri" w:eastAsia="Calibri" w:hAnsi="Calibri"/>
          <w:color w:val="626567"/>
          <w:sz w:val="18"/>
          <w:szCs w:val="18"/>
        </w:rPr>
        <w:t xml:space="preserve">  |  Jun 2017 – Jun 2019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Maintained Kubernetes cluster (100+ microservices); implemented Istio service mesh for zero-trust networking.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Automated infrastructure provisioning with Terraform; cut environment spin-up from 2 days to 20 minutes.</w:t>
      </w:r>
    </w:p>
    <w:p>
      <w:pPr>
        <w:shd w:fill="1E8449" w:val="clear"/>
        <w:spacing w:before="22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EDUCATION  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B.S. Computer Science</w:t>
      </w:r>
      <w:r>
        <w:rPr>
          <w:rFonts w:ascii="Calibri" w:cs="Calibri" w:eastAsia="Calibri" w:hAnsi="Calibri"/>
          <w:color w:val="626567"/>
          <w:sz w:val="18"/>
          <w:szCs w:val="18"/>
        </w:rPr>
        <w:t xml:space="preserve">  —  University of Washington, Seattle  |  2013 – 2017</w:t>
      </w:r>
    </w:p>
    <w:p>
      <w:pPr>
        <w:shd w:fill="1E8449" w:val="clear"/>
        <w:spacing w:before="220" w:after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CERTIFICATIONS  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Certified Kubernetes Administrator (CKA) — CNCF, 2022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AWS Certified DevOps Engineer – Professional, 2021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Google Professional ML Engineer — Google Cloud, 2023</w:t>
      </w:r>
    </w:p>
    <w:p>
      <w:pPr>
        <w:pStyle w:val="ListParagraph"/>
        <w:numPr>
          <w:ilvl w:val="0"/>
          <w:numId w:val="2"/>
        </w:numPr>
        <w:spacing w:after="50"/>
        <w:ind w:left="400"/>
      </w:pPr>
      <w:r>
        <w:rPr>
          <w:rFonts w:ascii="Calibri" w:cs="Calibri" w:eastAsia="Calibri" w:hAnsi="Calibri"/>
          <w:color w:val="212121"/>
          <w:sz w:val="18"/>
          <w:szCs w:val="18"/>
        </w:rPr>
        <w:t xml:space="preserve">HashiCorp Terraform Associate, 2020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2026-03-10T12:41:14.504Z</dcterms:created>
  <dcterms:modified xsi:type="dcterms:W3CDTF">2026-03-10T12:41:14.505Z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