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1200" w:rsidRPr="00F61200" w:rsidRDefault="00F61200" w:rsidP="00F612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6120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Contexte et objectifs</w:t>
      </w:r>
    </w:p>
    <w:p w:rsidR="00F61200" w:rsidRPr="00F61200" w:rsidRDefault="00F61200" w:rsidP="00F61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L’objectif principal de l’application </w:t>
      </w:r>
      <w:proofErr w:type="spellStart"/>
      <w:r w:rsidRPr="00F612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Health</w:t>
      </w:r>
      <w:proofErr w:type="spellEnd"/>
      <w:r w:rsidRPr="00F612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612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Awareness</w:t>
      </w:r>
      <w:proofErr w:type="spellEnd"/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d’évaluer l’accessibilité aux services de santé dans les zones urbaines, en combinant des analyses spatiales et des données </w:t>
      </w:r>
      <w:proofErr w:type="spellStart"/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>socio-démographiques</w:t>
      </w:r>
      <w:proofErr w:type="spellEnd"/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>. L’approche consiste à :</w:t>
      </w:r>
    </w:p>
    <w:p w:rsidR="00F61200" w:rsidRPr="00F61200" w:rsidRDefault="00F61200" w:rsidP="00F612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Identifier les points d’intérêt (</w:t>
      </w:r>
      <w:proofErr w:type="spellStart"/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>POIs</w:t>
      </w:r>
      <w:proofErr w:type="spellEnd"/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>) liés à la santé (hôpitaux, cliniques, pharmacies, laboratoires, etc.)</w:t>
      </w:r>
    </w:p>
    <w:p w:rsidR="00F61200" w:rsidRPr="00F61200" w:rsidRDefault="00F61200" w:rsidP="00F612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Calculer un </w:t>
      </w:r>
      <w:r w:rsidRPr="00F612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score d’accessibilité</w:t>
      </w: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basé sur la proximité entre les </w:t>
      </w:r>
      <w:proofErr w:type="spellStart"/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>POIs</w:t>
      </w:r>
      <w:proofErr w:type="spellEnd"/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les lieux d’analyse</w:t>
      </w:r>
    </w:p>
    <w:p w:rsidR="00F61200" w:rsidRPr="00F61200" w:rsidRDefault="00F61200" w:rsidP="00F612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Ajuster ce score en fonction de la </w:t>
      </w:r>
      <w:r w:rsidRPr="00F612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pression démographique</w:t>
      </w: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population locale</w:t>
      </w:r>
    </w:p>
    <w:p w:rsidR="00F61200" w:rsidRPr="00F61200" w:rsidRDefault="00F61200" w:rsidP="008D68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>Fournir une interface interactive pour la simulation et l’évaluation des impacts potentiels</w:t>
      </w:r>
    </w:p>
    <w:p w:rsidR="00F61200" w:rsidRPr="00F61200" w:rsidRDefault="00F61200" w:rsidP="00F612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6120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Acquisition et traitement des données</w:t>
      </w:r>
    </w:p>
    <w:p w:rsidR="00F61200" w:rsidRPr="00F61200" w:rsidRDefault="00F61200" w:rsidP="00F61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6120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2.1 Points d’intérêt (</w:t>
      </w:r>
      <w:proofErr w:type="spellStart"/>
      <w:r w:rsidRPr="00F6120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POIs</w:t>
      </w:r>
      <w:proofErr w:type="spellEnd"/>
      <w:r w:rsidRPr="00F6120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:rsidR="00F61200" w:rsidRPr="00F61200" w:rsidRDefault="00F61200" w:rsidP="00F612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proofErr w:type="spellStart"/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>POIs</w:t>
      </w:r>
      <w:proofErr w:type="spellEnd"/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proviennent d’un fichier </w:t>
      </w:r>
      <w:proofErr w:type="spellStart"/>
      <w:r w:rsidRPr="00F612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GeoJSON</w:t>
      </w:r>
      <w:proofErr w:type="spellEnd"/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proofErr w:type="gramStart"/>
      <w:r w:rsidRPr="00F61200">
        <w:rPr>
          <w:rFonts w:ascii="Courier New" w:eastAsia="Times New Roman" w:hAnsi="Courier New" w:cs="Courier New"/>
          <w:sz w:val="20"/>
          <w:szCs w:val="20"/>
          <w:lang w:eastAsia="fr-FR"/>
        </w:rPr>
        <w:t>health.geojson</w:t>
      </w:r>
      <w:proofErr w:type="spellEnd"/>
      <w:proofErr w:type="gramEnd"/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>) contenant les attributs : nom, type (</w:t>
      </w:r>
      <w:proofErr w:type="spellStart"/>
      <w:r w:rsidRPr="00F61200">
        <w:rPr>
          <w:rFonts w:ascii="Courier New" w:eastAsia="Times New Roman" w:hAnsi="Courier New" w:cs="Courier New"/>
          <w:sz w:val="20"/>
          <w:szCs w:val="20"/>
          <w:lang w:eastAsia="fr-FR"/>
        </w:rPr>
        <w:t>Valeur_POI</w:t>
      </w:r>
      <w:proofErr w:type="spellEnd"/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>), et coordonnées géographiques.</w:t>
      </w:r>
    </w:p>
    <w:p w:rsidR="00F61200" w:rsidRPr="00F61200" w:rsidRDefault="00F61200" w:rsidP="00F612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proofErr w:type="spellStart"/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>POIs</w:t>
      </w:r>
      <w:proofErr w:type="spellEnd"/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sont classés en catégories fonctionnelles : Hôpital, Clinique, Dispensaire, Cabinet médical, Centre médical, Pharmacie, Laboratoire d’analyses, Imagerie médicale.</w:t>
      </w:r>
    </w:p>
    <w:p w:rsidR="00F61200" w:rsidRPr="00F61200" w:rsidRDefault="00F61200" w:rsidP="00F61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6120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2.2 Données démographiques</w:t>
      </w:r>
    </w:p>
    <w:p w:rsidR="00F61200" w:rsidRPr="00F61200" w:rsidRDefault="00F61200" w:rsidP="002939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données de population par délégation sont fournies via </w:t>
      </w:r>
      <w:r w:rsidR="00293972">
        <w:rPr>
          <w:rFonts w:ascii="Times New Roman" w:eastAsia="Times New Roman" w:hAnsi="Times New Roman" w:cs="Times New Roman"/>
          <w:sz w:val="24"/>
          <w:szCs w:val="24"/>
          <w:lang w:eastAsia="fr-FR"/>
        </w:rPr>
        <w:t>le site de l’INS.</w:t>
      </w:r>
    </w:p>
    <w:p w:rsidR="00F61200" w:rsidRPr="00F61200" w:rsidRDefault="00F61200" w:rsidP="00F612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entité géographique contient la population totale et les limites spatiales (polygones).</w:t>
      </w:r>
    </w:p>
    <w:p w:rsidR="00F61200" w:rsidRPr="00F61200" w:rsidRDefault="00F61200" w:rsidP="008D68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L’utilisation de la bibliothèque </w:t>
      </w:r>
      <w:r w:rsidRPr="00F612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Turf.js</w:t>
      </w: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 de déterminer si un point appartient à une délégation (</w:t>
      </w:r>
      <w:proofErr w:type="spellStart"/>
      <w:r w:rsidRPr="00F61200">
        <w:rPr>
          <w:rFonts w:ascii="Courier New" w:eastAsia="Times New Roman" w:hAnsi="Courier New" w:cs="Courier New"/>
          <w:sz w:val="20"/>
          <w:szCs w:val="20"/>
          <w:lang w:eastAsia="fr-FR"/>
        </w:rPr>
        <w:t>booleanPointInPolygon</w:t>
      </w:r>
      <w:proofErr w:type="spellEnd"/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F61200" w:rsidRPr="00F61200" w:rsidRDefault="00F61200" w:rsidP="00F612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6120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Méthodes</w:t>
      </w:r>
    </w:p>
    <w:p w:rsidR="00F61200" w:rsidRPr="00F61200" w:rsidRDefault="00F61200" w:rsidP="008D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étude vise à évaluer l’accessibilité aux services de santé dans la zone urbaine étudiée, en combinant des analyses spatiales basées sur les points d’intérêt (</w:t>
      </w:r>
      <w:proofErr w:type="spellStart"/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>POIs</w:t>
      </w:r>
      <w:proofErr w:type="spellEnd"/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et des mesures géographiques objectives. Les méthodes utilisées incluent l’analyse de proximité des services, l’évaluation de l’impact de la population sur l’accessibilité et l’analyse spécifique des </w:t>
      </w:r>
      <w:r w:rsidRPr="00F612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lacunes hospitalières</w:t>
      </w: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61200" w:rsidRPr="00F61200" w:rsidRDefault="00F61200" w:rsidP="00F61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6120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3.1 Données </w:t>
      </w:r>
      <w:proofErr w:type="spellStart"/>
      <w:r w:rsidRPr="00F6120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géospatiales</w:t>
      </w:r>
      <w:proofErr w:type="spellEnd"/>
    </w:p>
    <w:p w:rsidR="00F61200" w:rsidRPr="00F61200" w:rsidRDefault="00F61200" w:rsidP="00F612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points d’intérêt de santé (hôpitaux, cliniques, pharmacies, laboratoires, centres d’imagerie) ont été extraits d’un </w:t>
      </w:r>
      <w:proofErr w:type="spellStart"/>
      <w:r w:rsidRPr="00F612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GeoJSON</w:t>
      </w:r>
      <w:proofErr w:type="spellEnd"/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officiel.</w:t>
      </w:r>
    </w:p>
    <w:p w:rsidR="00F61200" w:rsidRPr="00F61200" w:rsidRDefault="00F61200" w:rsidP="00F612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limites administratives des délégations ont été intégrées via un fichier </w:t>
      </w:r>
      <w:proofErr w:type="spellStart"/>
      <w:r w:rsidRPr="00F612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GeoJSON</w:t>
      </w:r>
      <w:proofErr w:type="spellEnd"/>
      <w:r w:rsidRPr="00F612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des zones de population</w:t>
      </w: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61200" w:rsidRPr="00F61200" w:rsidRDefault="00F61200" w:rsidP="008D68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Chaque POI est associé à ses coordonnées géographiques et à son type (hospitalier, clinique, etc.).</w:t>
      </w:r>
    </w:p>
    <w:p w:rsidR="00F61200" w:rsidRPr="00F61200" w:rsidRDefault="00F61200" w:rsidP="00F61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6120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3.2 Analyse de proximité des services</w:t>
      </w:r>
    </w:p>
    <w:p w:rsidR="00F61200" w:rsidRPr="00F61200" w:rsidRDefault="00F61200" w:rsidP="00F61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>Pour chaque localisation cliquée sur la carte, nous avons calculé :</w:t>
      </w:r>
    </w:p>
    <w:p w:rsidR="00F61200" w:rsidRPr="00F61200" w:rsidRDefault="00F61200" w:rsidP="00F612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distance aux services de santé via la fonction </w:t>
      </w:r>
      <w:proofErr w:type="spellStart"/>
      <w:proofErr w:type="gramStart"/>
      <w:r w:rsidRPr="00F61200">
        <w:rPr>
          <w:rFonts w:ascii="Courier New" w:eastAsia="Times New Roman" w:hAnsi="Courier New" w:cs="Courier New"/>
          <w:sz w:val="20"/>
          <w:szCs w:val="20"/>
          <w:lang w:eastAsia="fr-FR"/>
        </w:rPr>
        <w:t>map.distance</w:t>
      </w:r>
      <w:proofErr w:type="spellEnd"/>
      <w:proofErr w:type="gramEnd"/>
      <w:r w:rsidRPr="00F61200">
        <w:rPr>
          <w:rFonts w:ascii="Courier New" w:eastAsia="Times New Roman" w:hAnsi="Courier New" w:cs="Courier New"/>
          <w:sz w:val="20"/>
          <w:szCs w:val="20"/>
          <w:lang w:eastAsia="fr-FR"/>
        </w:rPr>
        <w:t>(latlng1, latlng2)</w:t>
      </w: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Leaflet.</w:t>
      </w:r>
    </w:p>
    <w:p w:rsidR="00F61200" w:rsidRPr="00F61200" w:rsidRDefault="00F61200" w:rsidP="00F612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L’identification des </w:t>
      </w:r>
      <w:proofErr w:type="spellStart"/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>POIs</w:t>
      </w:r>
      <w:proofErr w:type="spellEnd"/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situés dans un </w:t>
      </w:r>
      <w:r w:rsidRPr="00F612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rayon maximal prédéfini par type de service</w:t>
      </w: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> :</w:t>
      </w:r>
    </w:p>
    <w:tbl>
      <w:tblPr>
        <w:tblW w:w="849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4"/>
        <w:gridCol w:w="4295"/>
      </w:tblGrid>
      <w:tr w:rsidR="00F61200" w:rsidRPr="00F61200" w:rsidTr="0019151D">
        <w:trPr>
          <w:trHeight w:val="35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1200" w:rsidRPr="00F61200" w:rsidRDefault="00F61200" w:rsidP="00F61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612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F61200" w:rsidRPr="00F61200" w:rsidRDefault="00F61200" w:rsidP="00F61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612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Rayon d’influence</w:t>
            </w:r>
          </w:p>
        </w:tc>
      </w:tr>
      <w:tr w:rsidR="00F61200" w:rsidRPr="00F61200" w:rsidTr="0019151D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:rsidR="00F61200" w:rsidRPr="00F61200" w:rsidRDefault="00F61200" w:rsidP="00F61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612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Pharmacies</w:t>
            </w:r>
          </w:p>
        </w:tc>
        <w:tc>
          <w:tcPr>
            <w:tcW w:w="0" w:type="auto"/>
            <w:vAlign w:val="center"/>
            <w:hideMark/>
          </w:tcPr>
          <w:p w:rsidR="00F61200" w:rsidRPr="00F61200" w:rsidRDefault="00F61200" w:rsidP="00F61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612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 km</w:t>
            </w:r>
          </w:p>
        </w:tc>
      </w:tr>
      <w:tr w:rsidR="00F61200" w:rsidRPr="00F61200" w:rsidTr="0019151D">
        <w:trPr>
          <w:trHeight w:val="374"/>
          <w:tblCellSpacing w:w="15" w:type="dxa"/>
        </w:trPr>
        <w:tc>
          <w:tcPr>
            <w:tcW w:w="0" w:type="auto"/>
            <w:vAlign w:val="center"/>
            <w:hideMark/>
          </w:tcPr>
          <w:p w:rsidR="00F61200" w:rsidRPr="00F61200" w:rsidRDefault="00F61200" w:rsidP="00F61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612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Soins primaires</w:t>
            </w:r>
          </w:p>
        </w:tc>
        <w:tc>
          <w:tcPr>
            <w:tcW w:w="0" w:type="auto"/>
            <w:vAlign w:val="center"/>
            <w:hideMark/>
          </w:tcPr>
          <w:p w:rsidR="00F61200" w:rsidRPr="00F61200" w:rsidRDefault="00F61200" w:rsidP="00F61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612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1,5 km</w:t>
            </w:r>
          </w:p>
        </w:tc>
      </w:tr>
      <w:tr w:rsidR="00F61200" w:rsidRPr="00F61200" w:rsidTr="0019151D">
        <w:trPr>
          <w:trHeight w:val="374"/>
          <w:tblCellSpacing w:w="15" w:type="dxa"/>
        </w:trPr>
        <w:tc>
          <w:tcPr>
            <w:tcW w:w="0" w:type="auto"/>
            <w:vAlign w:val="center"/>
            <w:hideMark/>
          </w:tcPr>
          <w:p w:rsidR="00F61200" w:rsidRPr="00F61200" w:rsidRDefault="00F61200" w:rsidP="00F61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612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Laboratoires</w:t>
            </w:r>
          </w:p>
        </w:tc>
        <w:tc>
          <w:tcPr>
            <w:tcW w:w="0" w:type="auto"/>
            <w:vAlign w:val="center"/>
            <w:hideMark/>
          </w:tcPr>
          <w:p w:rsidR="00F61200" w:rsidRPr="00F61200" w:rsidRDefault="00F61200" w:rsidP="00F61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612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 km</w:t>
            </w:r>
          </w:p>
        </w:tc>
      </w:tr>
      <w:tr w:rsidR="00F61200" w:rsidRPr="00F61200" w:rsidTr="0019151D">
        <w:trPr>
          <w:trHeight w:val="374"/>
          <w:tblCellSpacing w:w="15" w:type="dxa"/>
        </w:trPr>
        <w:tc>
          <w:tcPr>
            <w:tcW w:w="0" w:type="auto"/>
            <w:vAlign w:val="center"/>
            <w:hideMark/>
          </w:tcPr>
          <w:p w:rsidR="00F61200" w:rsidRPr="00F61200" w:rsidRDefault="00F61200" w:rsidP="00F61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612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Centres d’imagerie</w:t>
            </w:r>
          </w:p>
        </w:tc>
        <w:tc>
          <w:tcPr>
            <w:tcW w:w="0" w:type="auto"/>
            <w:vAlign w:val="center"/>
            <w:hideMark/>
          </w:tcPr>
          <w:p w:rsidR="00F61200" w:rsidRPr="00F61200" w:rsidRDefault="00F61200" w:rsidP="00F61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612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 km</w:t>
            </w:r>
          </w:p>
        </w:tc>
      </w:tr>
      <w:tr w:rsidR="00F61200" w:rsidRPr="00F61200" w:rsidTr="0019151D">
        <w:trPr>
          <w:trHeight w:val="374"/>
          <w:tblCellSpacing w:w="15" w:type="dxa"/>
        </w:trPr>
        <w:tc>
          <w:tcPr>
            <w:tcW w:w="0" w:type="auto"/>
            <w:vAlign w:val="center"/>
            <w:hideMark/>
          </w:tcPr>
          <w:p w:rsidR="00F61200" w:rsidRPr="00F61200" w:rsidRDefault="00F61200" w:rsidP="00F61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612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Cliniques</w:t>
            </w:r>
          </w:p>
        </w:tc>
        <w:tc>
          <w:tcPr>
            <w:tcW w:w="0" w:type="auto"/>
            <w:vAlign w:val="center"/>
            <w:hideMark/>
          </w:tcPr>
          <w:p w:rsidR="00F61200" w:rsidRPr="00F61200" w:rsidRDefault="00F61200" w:rsidP="00F61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612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 km</w:t>
            </w:r>
          </w:p>
        </w:tc>
      </w:tr>
      <w:tr w:rsidR="00F61200" w:rsidRPr="00F61200" w:rsidTr="0019151D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:rsidR="00F61200" w:rsidRPr="00F61200" w:rsidRDefault="00F61200" w:rsidP="00F61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612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Hôpitaux</w:t>
            </w:r>
          </w:p>
        </w:tc>
        <w:tc>
          <w:tcPr>
            <w:tcW w:w="0" w:type="auto"/>
            <w:vAlign w:val="center"/>
            <w:hideMark/>
          </w:tcPr>
          <w:p w:rsidR="00F61200" w:rsidRPr="00F61200" w:rsidRDefault="00F61200" w:rsidP="00F61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6120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 km</w:t>
            </w:r>
          </w:p>
        </w:tc>
      </w:tr>
    </w:tbl>
    <w:p w:rsidR="00F61200" w:rsidRPr="00F61200" w:rsidRDefault="00F61200" w:rsidP="00F612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>La somme des points attribués pour chaque service accessible, selon le barème prédéfini.</w:t>
      </w:r>
    </w:p>
    <w:p w:rsidR="00F61200" w:rsidRPr="00F61200" w:rsidRDefault="00F61200" w:rsidP="008D68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possibilité d’inclure des </w:t>
      </w:r>
      <w:proofErr w:type="spellStart"/>
      <w:r w:rsidRPr="00F612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POIs</w:t>
      </w:r>
      <w:proofErr w:type="spellEnd"/>
      <w:r w:rsidRPr="00F612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simulés</w:t>
      </w: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tester différents scénarios urbains et observer leur impact sur le score total.</w:t>
      </w:r>
    </w:p>
    <w:p w:rsidR="00F61200" w:rsidRPr="00F61200" w:rsidRDefault="00F61200" w:rsidP="00F61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6120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3.3 Analyse de la population</w:t>
      </w:r>
    </w:p>
    <w:p w:rsidR="00F61200" w:rsidRPr="00F61200" w:rsidRDefault="00F61200" w:rsidP="00F61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>Afin de mieux refléter la pression urbaine sur les services, un facteur correctif basé sur la population locale a été appliqué :</w:t>
      </w:r>
    </w:p>
    <w:p w:rsidR="00F61200" w:rsidRPr="00F61200" w:rsidRDefault="00F61200" w:rsidP="00F612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point cliqué est associé à sa </w:t>
      </w:r>
      <w:r w:rsidRPr="00F612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délégation administrative</w:t>
      </w: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un test de point dans polygone avec Turf.js.</w:t>
      </w:r>
    </w:p>
    <w:p w:rsidR="00F61200" w:rsidRPr="00F61200" w:rsidRDefault="00F61200" w:rsidP="00F612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population de la délégation est normalisée entre 0 (faible) et 1 (élevée) pour produire un </w:t>
      </w:r>
      <w:r w:rsidRPr="00F612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score de pression populationnelle</w:t>
      </w: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61200" w:rsidRPr="00F61200" w:rsidRDefault="00F61200" w:rsidP="00F612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F612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score final pondéré</w:t>
      </w: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calculé par :</w:t>
      </w:r>
    </w:p>
    <w:p w:rsidR="00F61200" w:rsidRPr="00F61200" w:rsidRDefault="00F61200" w:rsidP="00F6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>Score final=Score </w:t>
      </w:r>
      <w:proofErr w:type="spellStart"/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>accessibilite</w:t>
      </w:r>
      <w:proofErr w:type="spellEnd"/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>ˊ</w:t>
      </w:r>
      <w:proofErr w:type="gramStart"/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>×(</w:t>
      </w:r>
      <w:proofErr w:type="gramEnd"/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0.7+0.3×Score pression) </w:t>
      </w:r>
    </w:p>
    <w:p w:rsidR="00F61200" w:rsidRPr="00F61200" w:rsidRDefault="00F61200" w:rsidP="008D68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approche permet d’intégrer la densité de population sans modifier l’analyse de proximité des services existants.</w:t>
      </w:r>
    </w:p>
    <w:p w:rsidR="00F61200" w:rsidRPr="00F61200" w:rsidRDefault="00F61200" w:rsidP="00F61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6120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3.4 Analyse des lacunes hospitalières (</w:t>
      </w:r>
      <w:proofErr w:type="spellStart"/>
      <w:r w:rsidRPr="00F6120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Hospital</w:t>
      </w:r>
      <w:proofErr w:type="spellEnd"/>
      <w:r w:rsidRPr="00F6120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Gap </w:t>
      </w:r>
      <w:proofErr w:type="spellStart"/>
      <w:r w:rsidRPr="00F6120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Analysis</w:t>
      </w:r>
      <w:proofErr w:type="spellEnd"/>
      <w:r w:rsidRPr="00F6120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:rsidR="00F61200" w:rsidRPr="00F61200" w:rsidRDefault="00F61200" w:rsidP="00F61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L’</w:t>
      </w:r>
      <w:proofErr w:type="spellStart"/>
      <w:r w:rsidRPr="00F612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Hospital</w:t>
      </w:r>
      <w:proofErr w:type="spellEnd"/>
      <w:r w:rsidRPr="00F612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Gap </w:t>
      </w:r>
      <w:proofErr w:type="spellStart"/>
      <w:r w:rsidRPr="00F612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Analysis</w:t>
      </w:r>
      <w:proofErr w:type="spellEnd"/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une méthode géographique visant à identifier les zones mal desservies par les hôpitaux, sans tenir compte de la population.</w:t>
      </w:r>
    </w:p>
    <w:p w:rsidR="00F61200" w:rsidRPr="00F61200" w:rsidRDefault="00F61200" w:rsidP="00F612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Définition des zones couvertes</w:t>
      </w:r>
    </w:p>
    <w:p w:rsidR="00F61200" w:rsidRPr="00F61200" w:rsidRDefault="00F61200" w:rsidP="00F612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hôpital est associé à un </w:t>
      </w:r>
      <w:r w:rsidRPr="00F612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rayon de 5 km</w:t>
      </w: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>, correspondant à la distance maximale considérée pour un accès rapide aux soins hospitaliers.</w:t>
      </w:r>
    </w:p>
    <w:p w:rsidR="00F61200" w:rsidRPr="00F61200" w:rsidRDefault="00F61200" w:rsidP="00F612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zones situées en dehors de ces rayons sont classées comme </w:t>
      </w:r>
      <w:r w:rsidRPr="00F612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zones à lacune hospitalière</w:t>
      </w: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61200" w:rsidRPr="00F61200" w:rsidRDefault="00F61200" w:rsidP="00F612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Identification des zones critiques</w:t>
      </w:r>
    </w:p>
    <w:p w:rsidR="00F61200" w:rsidRPr="00F61200" w:rsidRDefault="00F61200" w:rsidP="00F612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L’analyse consiste à générer des polygones ou une </w:t>
      </w:r>
      <w:proofErr w:type="spellStart"/>
      <w:r w:rsidRPr="00F612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heatmap</w:t>
      </w:r>
      <w:proofErr w:type="spellEnd"/>
      <w:r w:rsidRPr="00F612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inversée</w:t>
      </w: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>, où les zones rouges indiquent un manque d’hôpitaux.</w:t>
      </w:r>
    </w:p>
    <w:p w:rsidR="00F61200" w:rsidRPr="00F61200" w:rsidRDefault="00F61200" w:rsidP="00F612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Cette approche permet de visualiser les </w:t>
      </w:r>
      <w:r w:rsidRPr="00F612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déserts hospitaliers</w:t>
      </w: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indépendamment des autres services ou de la densité de population.</w:t>
      </w:r>
    </w:p>
    <w:p w:rsidR="00F61200" w:rsidRPr="00F61200" w:rsidRDefault="00F61200" w:rsidP="00F612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Justification méthodologique</w:t>
      </w:r>
    </w:p>
    <w:p w:rsidR="00F61200" w:rsidRPr="00F61200" w:rsidRDefault="00F61200" w:rsidP="00F612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>L’utilisation d’un rayon fixe de 5 km repose sur des standards internationaux d’accessibilité hospitalière urbaine.</w:t>
      </w:r>
    </w:p>
    <w:p w:rsidR="00F61200" w:rsidRPr="00F61200" w:rsidRDefault="00F61200" w:rsidP="00F612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méthode se concentre sur l’aspect </w:t>
      </w:r>
      <w:r w:rsidRPr="00F612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géographique pur</w:t>
      </w: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>, permettant de guider la planification de nouvelles infrastructures hospitalières.</w:t>
      </w:r>
    </w:p>
    <w:p w:rsidR="00F61200" w:rsidRPr="00F61200" w:rsidRDefault="00F61200" w:rsidP="008D68D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excluant la population, l’analyse cible la </w:t>
      </w:r>
      <w:r w:rsidRPr="00F612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disponibilité réelle du service</w:t>
      </w: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plutôt que son adéquation à la demande.</w:t>
      </w:r>
    </w:p>
    <w:p w:rsidR="00F61200" w:rsidRPr="00F61200" w:rsidRDefault="00F61200" w:rsidP="00F61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6120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3.5 Analyse des distances aux services clés (</w:t>
      </w:r>
      <w:proofErr w:type="spellStart"/>
      <w:r w:rsidRPr="00F6120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Nearest</w:t>
      </w:r>
      <w:proofErr w:type="spellEnd"/>
      <w:r w:rsidRPr="00F6120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F6120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Analysis</w:t>
      </w:r>
      <w:proofErr w:type="spellEnd"/>
      <w:r w:rsidRPr="00F6120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:rsidR="00F61200" w:rsidRPr="00F61200" w:rsidRDefault="00F61200" w:rsidP="00F612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chaque point d’intérêt cliqué, la distance au </w:t>
      </w:r>
      <w:r w:rsidRPr="00F612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service le plus proche par type</w:t>
      </w: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calculée.</w:t>
      </w:r>
    </w:p>
    <w:p w:rsidR="00F61200" w:rsidRPr="00F61200" w:rsidRDefault="00F61200" w:rsidP="00F612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</w:t>
      </w:r>
      <w:r w:rsidRPr="00F612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lignes en pointillés</w:t>
      </w: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des </w:t>
      </w:r>
      <w:r w:rsidRPr="00F612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cercles de mise en évidence</w:t>
      </w: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sont tracés sur la carte pour visualiser rapidement le service le plus proche.</w:t>
      </w:r>
    </w:p>
    <w:p w:rsidR="00F61200" w:rsidRPr="00F61200" w:rsidRDefault="00F61200" w:rsidP="008D6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Cette méthode permet de combiner l’évaluation quantitative des scores avec une </w:t>
      </w:r>
      <w:r w:rsidRPr="00F612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visualisation intuitive</w:t>
      </w: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l’accessibilité.</w:t>
      </w:r>
      <w:bookmarkStart w:id="0" w:name="_GoBack"/>
      <w:bookmarkEnd w:id="0"/>
    </w:p>
    <w:p w:rsidR="00F61200" w:rsidRPr="00F61200" w:rsidRDefault="00F61200" w:rsidP="00F61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6120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3.6 Visualisation et interprétation des résultats</w:t>
      </w:r>
    </w:p>
    <w:p w:rsidR="00F61200" w:rsidRPr="00F61200" w:rsidRDefault="00F61200" w:rsidP="00F612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scores sont affichés dans un </w:t>
      </w:r>
      <w:r w:rsidRPr="00F612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badge flottant</w:t>
      </w: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indiquant la qualité de l’accessibilité (GOOD, MODERATE, POOR).</w:t>
      </w:r>
    </w:p>
    <w:p w:rsidR="00F61200" w:rsidRPr="00F61200" w:rsidRDefault="00F61200" w:rsidP="00F612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>Les zones critiques identifiées par l’</w:t>
      </w:r>
      <w:proofErr w:type="spellStart"/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>Hospital</w:t>
      </w:r>
      <w:proofErr w:type="spellEnd"/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Gap </w:t>
      </w:r>
      <w:proofErr w:type="spellStart"/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Analysis</w:t>
      </w:r>
      <w:proofErr w:type="spellEnd"/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sont représentées via un </w:t>
      </w:r>
      <w:proofErr w:type="spellStart"/>
      <w:r w:rsidRPr="00F612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heatmap</w:t>
      </w:r>
      <w:proofErr w:type="spellEnd"/>
      <w:r w:rsidRPr="00F612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inversé</w:t>
      </w: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338A7" w:rsidRPr="00F61200" w:rsidRDefault="00F61200" w:rsidP="00F612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utilisateurs peuvent interagir avec les </w:t>
      </w:r>
      <w:proofErr w:type="spellStart"/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>POIs</w:t>
      </w:r>
      <w:proofErr w:type="spellEnd"/>
      <w:r w:rsidRPr="00F612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afficher des informations détaillées et tester différents scénarios de simulation.</w:t>
      </w:r>
    </w:p>
    <w:sectPr w:rsidR="002338A7" w:rsidRPr="00F612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0843D0"/>
    <w:multiLevelType w:val="multilevel"/>
    <w:tmpl w:val="711C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C4D4B"/>
    <w:multiLevelType w:val="multilevel"/>
    <w:tmpl w:val="10C4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92A4C"/>
    <w:multiLevelType w:val="multilevel"/>
    <w:tmpl w:val="B1E66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9C4365"/>
    <w:multiLevelType w:val="multilevel"/>
    <w:tmpl w:val="84A4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A063A"/>
    <w:multiLevelType w:val="multilevel"/>
    <w:tmpl w:val="1BF4D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665055"/>
    <w:multiLevelType w:val="multilevel"/>
    <w:tmpl w:val="0DDE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CA4E13"/>
    <w:multiLevelType w:val="multilevel"/>
    <w:tmpl w:val="04DC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B1399"/>
    <w:multiLevelType w:val="multilevel"/>
    <w:tmpl w:val="0FCA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5551E5"/>
    <w:multiLevelType w:val="multilevel"/>
    <w:tmpl w:val="0B2028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041BAB"/>
    <w:multiLevelType w:val="multilevel"/>
    <w:tmpl w:val="286C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2D4D48"/>
    <w:multiLevelType w:val="multilevel"/>
    <w:tmpl w:val="0E3A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6"/>
  </w:num>
  <w:num w:numId="5">
    <w:abstractNumId w:val="2"/>
  </w:num>
  <w:num w:numId="6">
    <w:abstractNumId w:val="8"/>
  </w:num>
  <w:num w:numId="7">
    <w:abstractNumId w:val="1"/>
  </w:num>
  <w:num w:numId="8">
    <w:abstractNumId w:val="9"/>
  </w:num>
  <w:num w:numId="9">
    <w:abstractNumId w:val="4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551"/>
    <w:rsid w:val="00141440"/>
    <w:rsid w:val="0019151D"/>
    <w:rsid w:val="002338A7"/>
    <w:rsid w:val="00293972"/>
    <w:rsid w:val="004E604E"/>
    <w:rsid w:val="008D68D8"/>
    <w:rsid w:val="00B03551"/>
    <w:rsid w:val="00F61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F7267"/>
  <w15:chartTrackingRefBased/>
  <w15:docId w15:val="{D7FADD54-69E9-465A-920D-58A645FE9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F612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F612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F6120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F6120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61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61200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F61200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Policepardfaut"/>
    <w:rsid w:val="00F61200"/>
  </w:style>
  <w:style w:type="character" w:customStyle="1" w:styleId="mord">
    <w:name w:val="mord"/>
    <w:basedOn w:val="Policepardfaut"/>
    <w:rsid w:val="00F61200"/>
  </w:style>
  <w:style w:type="character" w:customStyle="1" w:styleId="mrel">
    <w:name w:val="mrel"/>
    <w:basedOn w:val="Policepardfaut"/>
    <w:rsid w:val="00F61200"/>
  </w:style>
  <w:style w:type="character" w:customStyle="1" w:styleId="mbin">
    <w:name w:val="mbin"/>
    <w:basedOn w:val="Policepardfaut"/>
    <w:rsid w:val="00F61200"/>
  </w:style>
  <w:style w:type="character" w:customStyle="1" w:styleId="mopen">
    <w:name w:val="mopen"/>
    <w:basedOn w:val="Policepardfaut"/>
    <w:rsid w:val="00F61200"/>
  </w:style>
  <w:style w:type="character" w:customStyle="1" w:styleId="mclose">
    <w:name w:val="mclose"/>
    <w:basedOn w:val="Policepardfaut"/>
    <w:rsid w:val="00F612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3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1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824</Words>
  <Characters>4536</Characters>
  <Application>Microsoft Office Word</Application>
  <DocSecurity>0</DocSecurity>
  <Lines>37</Lines>
  <Paragraphs>10</Paragraphs>
  <ScaleCrop>false</ScaleCrop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5</cp:revision>
  <dcterms:created xsi:type="dcterms:W3CDTF">2026-01-04T12:13:00Z</dcterms:created>
  <dcterms:modified xsi:type="dcterms:W3CDTF">2026-01-04T12:18:00Z</dcterms:modified>
</cp:coreProperties>
</file>