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Wadjet GRC Platform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Settings Module</w:t>
      </w:r>
    </w:p>
    <w:p>
      <w:r>
        <w:br w:type="page"/>
      </w:r>
    </w:p>
    <w:p>
      <w:pPr>
        <w:pStyle w:val="Heading1"/>
      </w:pPr>
      <w:r>
        <w:t xml:space="preserve">1. Module Overview</w:t>
      </w:r>
    </w:p>
    <w:p>
      <w:r>
        <w:rPr>
          <w:rFonts w:ascii="Arial" w:cs="Arial" w:eastAsia="Arial" w:hAnsi="Arial"/>
          <w:sz w:val="22"/>
          <w:szCs w:val="22"/>
        </w:rPr>
        <w:t xml:space="preserve">The Settings module provides system administrators with the ability to configure two critical platform capabilities.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/settings/mail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Mail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2026-08-23T14:20:46.025Z</dcterms:created>
  <dcterms:modified xsi:type="dcterms:W3CDTF">2026-08-23T14:20:46.026Z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