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HomeFront Suite Documentation</w:t>
      </w:r>
    </w:p>
    <w:p>
      <w:r>
        <w:t>This document compiles the codebase, architecture, hierarchy, database schemas, and migration registry profiles of the HomeFront suite of programs. This document can be edited and synchronized back to the web application.</w:t>
      </w:r>
    </w:p>
    <w:p>
      <w:r>
        <w:br w:type="page"/>
      </w:r>
    </w:p>
    <w:p>
      <w:pPr>
        <w:pStyle w:val="Heading1"/>
      </w:pPr>
      <w:r>
        <w:t>Home &amp; Architectural Overview</w:t>
      </w:r>
    </w:p>
    <w:p>
      <w:r>
        <w:rPr>
          <w:i/>
          <w:color w:val="6E6E6E"/>
          <w:sz w:val="19"/>
        </w:rPr>
        <w:t>Metadata: ID=overview | Icon=🏠 | Path=Home &gt; Overview</w:t>
      </w:r>
    </w:p>
    <w:p>
      <w:pPr>
        <w:pStyle w:val="Heading1"/>
      </w:pPr>
      <w:r>
        <w:t>Welcome to HomeFront Suite Documentation</w:t>
      </w:r>
    </w:p>
    <w:p>
      <w:r>
        <w:t xml:space="preserve">The </w:t>
      </w:r>
      <w:r>
        <w:rPr>
          <w:b/>
        </w:rPr>
        <w:t>HomeFront Suite</w:t>
      </w:r>
      <w:r>
        <w:t xml:space="preserve"> is an enterprise-grade Residential Construction Management and ERP system. It bridges the gap between estimating, sales, scheduling, purchasing, and back-office accounting for home builders. Originally written in Visual Basic 6 (VB6), the system is undergoing a modernization process, migrating to a </w:t>
      </w:r>
      <w:r>
        <w:rPr>
          <w:b/>
        </w:rPr>
        <w:t>C# ASP.NET Core Blazor</w:t>
      </w:r>
      <w:r>
        <w:t xml:space="preserve"> architecture.</w:t>
      </w:r>
    </w:p>
    <w:tbl>
      <w:tblPr>
        <w:tblW w:type="auto" w:w="0"/>
        <w:tblLayout w:type="fixed"/>
        <w:tblLook w:firstColumn="1" w:firstRow="1" w:lastColumn="0" w:lastRow="0" w:noHBand="0" w:noVBand="1" w:val="04A0"/>
      </w:tblPr>
      <w:tblGrid>
        <w:gridCol w:w="8640"/>
      </w:tblGrid>
      <w:tr>
        <w:tc>
          <w:tcPr>
            <w:tcW w:type="dxa" w:w="8640"/>
            <w:shd w:val="clear" w:color="auto" w:fill="DEEBFF"/>
            <w:tcBorders>
              <w:left w:val="single" w:sz="36" w:space="0" w:color="0052CC"/>
              <w:top w:val="nil"/>
              <w:bottom w:val="nil"/>
              <w:right w:val="nil"/>
            </w:tcBorders>
          </w:tcPr>
          <w:p>
            <w:r>
              <w:rPr>
                <w:b/>
              </w:rPr>
              <w:t>Modernization Note:</w:t>
            </w:r>
            <w:r>
              <w:t xml:space="preserve"> Active synchronization exists between </w:t>
            </w:r>
            <w:r>
              <w:rPr>
                <w:rFonts w:ascii="Courier New" w:hAnsi="Courier New"/>
                <w:sz w:val="20"/>
              </w:rPr>
              <w:t>HomeFront</w:t>
            </w:r>
            <w:r>
              <w:t xml:space="preserve"> (Mobile &amp; Desktop Web client) and </w:t>
            </w:r>
            <w:r>
              <w:rPr>
                <w:rFonts w:ascii="Courier New" w:hAnsi="Courier New"/>
                <w:sz w:val="20"/>
              </w:rPr>
              <w:t>HomeFrontPB</w:t>
            </w:r>
            <w:r>
              <w:t xml:space="preserve"> (Precision Builder modern core Web client). This documentation system highlights the VB6 origin modules and their migrated Blazor counterpart targets.</w:t>
              <w:br/>
              <w:t xml:space="preserve">        </w:t>
            </w:r>
          </w:p>
        </w:tc>
      </w:tr>
    </w:tbl>
    <w:p>
      <w:pPr>
        <w:pStyle w:val="Heading2"/>
      </w:pPr>
      <w:r>
        <w:t>Suite Hierarchy &amp; ERP Workflow</w:t>
      </w:r>
    </w:p>
    <w:p>
      <w:r>
        <w:t>The HomeFront suite operates in a sequential transactional workflow representing the lifecycle of residential construction projects. The following diagram illustrates how the core programs interact:</w:t>
      </w:r>
    </w:p>
    <w:p>
      <w:pPr>
        <w:ind w:left="360"/>
      </w:pPr>
      <w:r>
        <w:rPr>
          <w:rFonts w:ascii="Courier New" w:hAnsi="Courier New"/>
          <w:sz w:val="19"/>
        </w:rPr>
        <w:br/>
        <w:t>[ Estimating Engine: HFEst ]</w:t>
        <w:br/>
        <w:t xml:space="preserve">       │  (Calculates quantities, options, and assembly components)</w:t>
        <w:br/>
        <w:t xml:space="preserve">       ▼</w:t>
        <w:br/>
        <w:t>[ System Administration: HFSystem ]</w:t>
        <w:br/>
        <w:t xml:space="preserve">       │  (Handles Job/Community setups, Security, and sends Purchase Orders)</w:t>
        <w:br/>
        <w:t xml:space="preserve">       ├─────────────────────────────────┐</w:t>
        <w:br/>
        <w:t xml:space="preserve">       ▼                                 ▼</w:t>
        <w:br/>
        <w:t>[ AutoNotice / Workflow ]        [ Accounts Payable: HFPayables ]</w:t>
        <w:br/>
        <w:t xml:space="preserve">       │  (Automates alerts,             │  (Tracks invoices, commitments,</w:t>
        <w:br/>
        <w:t xml:space="preserve">       │   emails &amp; scheduler tasks)     │   and imports credit cards)</w:t>
        <w:br/>
        <w:t xml:space="preserve">       ▼                                 ▼</w:t>
        <w:br/>
        <w:t>[ BuildPro API Integrations ] ➔  [ Accounting ERPs (Sage, QBO, Dynamics D365) ]</w:t>
        <w:br/>
        <w:t xml:space="preserve">      </w:t>
      </w:r>
    </w:p>
    <w:p>
      <w:pPr>
        <w:pStyle w:val="Heading2"/>
      </w:pPr>
      <w:r>
        <w:t>Programs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4F5F7"/>
          </w:tcPr>
          <w:p>
            <w:r>
              <w:t>Program / Component</w:t>
            </w:r>
          </w:p>
        </w:tc>
        <w:tc>
          <w:tcPr>
            <w:tcW w:type="dxa" w:w="2160"/>
            <w:shd w:val="clear" w:color="auto" w:fill="F4F5F7"/>
          </w:tcPr>
          <w:p>
            <w:r>
              <w:t>Original Tech</w:t>
            </w:r>
          </w:p>
        </w:tc>
        <w:tc>
          <w:tcPr>
            <w:tcW w:type="dxa" w:w="2160"/>
            <w:shd w:val="clear" w:color="auto" w:fill="F4F5F7"/>
          </w:tcPr>
          <w:p>
            <w:r>
              <w:t>Modern Tech</w:t>
            </w:r>
          </w:p>
        </w:tc>
        <w:tc>
          <w:tcPr>
            <w:tcW w:type="dxa" w:w="2160"/>
            <w:shd w:val="clear" w:color="auto" w:fill="F4F5F7"/>
          </w:tcPr>
          <w:p>
            <w:r>
              <w:t>Core Responsibilities</w:t>
            </w:r>
          </w:p>
        </w:tc>
      </w:tr>
      <w:tr>
        <w:tc>
          <w:tcPr>
            <w:tcW w:type="dxa" w:w="2160"/>
          </w:tcPr>
          <w:p>
            <w:r>
              <w:rPr>
                <w:b/>
              </w:rPr>
              <w:t>HFEst</w:t>
            </w:r>
          </w:p>
        </w:tc>
        <w:tc>
          <w:tcPr>
            <w:tcW w:type="dxa" w:w="2160"/>
          </w:tcPr>
          <w:p>
            <w:r>
              <w:t>VB6 (ActiveX EXE)</w:t>
            </w:r>
          </w:p>
        </w:tc>
        <w:tc>
          <w:tcPr>
            <w:tcW w:type="dxa" w:w="2160"/>
          </w:tcPr>
          <w:p>
            <w:r>
              <w:t>Blazor Razor Pages</w:t>
            </w:r>
          </w:p>
        </w:tc>
        <w:tc>
          <w:tcPr>
            <w:tcW w:type="dxa" w:w="2160"/>
          </w:tcPr>
          <w:p>
            <w:r>
              <w:t>Model &amp; Option Library, Estimating, Formula evaluation, Takeoff Quantities, and Vendor Pricelists.</w:t>
            </w:r>
          </w:p>
        </w:tc>
      </w:tr>
      <w:tr>
        <w:tc>
          <w:tcPr>
            <w:tcW w:type="dxa" w:w="2160"/>
          </w:tcPr>
          <w:p>
            <w:r>
              <w:rPr>
                <w:b/>
              </w:rPr>
              <w:t>HFSystem</w:t>
            </w:r>
          </w:p>
        </w:tc>
        <w:tc>
          <w:tcPr>
            <w:tcW w:type="dxa" w:w="2160"/>
          </w:tcPr>
          <w:p>
            <w:r>
              <w:t>VB6 (Standard EXE)</w:t>
            </w:r>
          </w:p>
        </w:tc>
        <w:tc>
          <w:tcPr>
            <w:tcW w:type="dxa" w:w="2160"/>
          </w:tcPr>
          <w:p>
            <w:r>
              <w:t>Blazor Razor Pages</w:t>
            </w:r>
          </w:p>
        </w:tc>
        <w:tc>
          <w:tcPr>
            <w:tcW w:type="dxa" w:w="2160"/>
          </w:tcPr>
          <w:p>
            <w:r>
              <w:t>Job/Lot Management, Community configurations, Security Profiles, PO creation, and ERP mapping.</w:t>
            </w:r>
          </w:p>
        </w:tc>
      </w:tr>
      <w:tr>
        <w:tc>
          <w:tcPr>
            <w:tcW w:type="dxa" w:w="2160"/>
          </w:tcPr>
          <w:p>
            <w:r>
              <w:rPr>
                <w:b/>
              </w:rPr>
              <w:t>HFPayables</w:t>
            </w:r>
          </w:p>
        </w:tc>
        <w:tc>
          <w:tcPr>
            <w:tcW w:type="dxa" w:w="2160"/>
          </w:tcPr>
          <w:p>
            <w:r>
              <w:t>VB6 (Standard EXE)</w:t>
            </w:r>
          </w:p>
        </w:tc>
        <w:tc>
          <w:tcPr>
            <w:tcW w:type="dxa" w:w="2160"/>
          </w:tcPr>
          <w:p>
            <w:r>
              <w:t>Blazor Razor Pages</w:t>
            </w:r>
          </w:p>
        </w:tc>
        <w:tc>
          <w:tcPr>
            <w:tcW w:type="dxa" w:w="2160"/>
          </w:tcPr>
          <w:p>
            <w:r>
              <w:t>Accounts Payable ledger, Commitment tracking, Invoicing, Visa import, and Payment batches.</w:t>
            </w:r>
          </w:p>
        </w:tc>
      </w:tr>
      <w:tr>
        <w:tc>
          <w:tcPr>
            <w:tcW w:type="dxa" w:w="2160"/>
          </w:tcPr>
          <w:p>
            <w:r>
              <w:rPr>
                <w:b/>
              </w:rPr>
              <w:t>AutoNotice</w:t>
            </w:r>
          </w:p>
        </w:tc>
        <w:tc>
          <w:tcPr>
            <w:tcW w:type="dxa" w:w="2160"/>
          </w:tcPr>
          <w:p>
            <w:r>
              <w:t>C# Class Library</w:t>
            </w:r>
          </w:p>
        </w:tc>
        <w:tc>
          <w:tcPr>
            <w:tcW w:type="dxa" w:w="2160"/>
          </w:tcPr>
          <w:p>
            <w:r>
              <w:t>C# Services</w:t>
            </w:r>
          </w:p>
        </w:tc>
        <w:tc>
          <w:tcPr>
            <w:tcW w:type="dxa" w:w="2160"/>
          </w:tcPr>
          <w:p>
            <w:r>
              <w:t>Background workflow scheduler, condition builder, event traps, and automated email/fax dispatches.</w:t>
            </w:r>
          </w:p>
        </w:tc>
      </w:tr>
      <w:tr>
        <w:tc>
          <w:tcPr>
            <w:tcW w:type="dxa" w:w="2160"/>
          </w:tcPr>
          <w:p>
            <w:r>
              <w:rPr>
                <w:b/>
              </w:rPr>
              <w:t>HomeFrontPB</w:t>
            </w:r>
          </w:p>
        </w:tc>
        <w:tc>
          <w:tcPr>
            <w:tcW w:type="dxa" w:w="2160"/>
          </w:tcPr>
          <w:p>
            <w:r>
              <w:t>-</w:t>
            </w:r>
          </w:p>
        </w:tc>
        <w:tc>
          <w:tcPr>
            <w:tcW w:type="dxa" w:w="2160"/>
          </w:tcPr>
          <w:p>
            <w:r>
              <w:t>ASP.NET Blazor Core</w:t>
            </w:r>
          </w:p>
        </w:tc>
        <w:tc>
          <w:tcPr>
            <w:tcW w:type="dxa" w:w="2160"/>
          </w:tcPr>
          <w:p>
            <w:r>
              <w:t>The modernized, unified web portal hosting all components using FlexKit UI and C# SQL Services.</w:t>
            </w:r>
          </w:p>
        </w:tc>
      </w:tr>
    </w:tbl>
    <w:p>
      <w:pPr>
        <w:pStyle w:val="Heading2"/>
      </w:pPr>
      <w:r>
        <w:t>High-Level Architecture</w:t>
      </w:r>
    </w:p>
    <w:p>
      <w:pPr>
        <w:pStyle w:val="ListBullet"/>
      </w:pPr>
      <w:r>
        <w:rPr>
          <w:b/>
        </w:rPr>
        <w:t>Database Layer:</w:t>
      </w:r>
      <w:r>
        <w:t xml:space="preserve"> Shared SQL Server Database. Heavy reliance on stored procedures for heavy operations (e.g., pricing updates, imports validation, and batch commitment runs).</w:t>
      </w:r>
    </w:p>
    <w:p>
      <w:pPr>
        <w:pStyle w:val="ListBullet"/>
      </w:pPr>
      <w:r>
        <w:rPr>
          <w:b/>
        </w:rPr>
        <w:t>Business Services:</w:t>
      </w:r>
      <w:r>
        <w:t xml:space="preserve"> Originally hosted inside ActiveX DLL/EXEs; modern Blazor app serves them via singleton/scoped C# helper files (like </w:t>
      </w:r>
      <w:r>
        <w:rPr>
          <w:rFonts w:ascii="Courier New" w:hAnsi="Courier New"/>
          <w:sz w:val="20"/>
        </w:rPr>
        <w:t>Application.cs</w:t>
      </w:r>
      <w:r>
        <w:t xml:space="preserve"> and </w:t>
      </w:r>
      <w:r>
        <w:rPr>
          <w:rFonts w:ascii="Courier New" w:hAnsi="Courier New"/>
          <w:sz w:val="20"/>
        </w:rPr>
        <w:t>DbWrapperSqlServer.cs</w:t>
      </w:r>
      <w:r>
        <w:t>).</w:t>
      </w:r>
    </w:p>
    <w:p>
      <w:pPr>
        <w:pStyle w:val="ListBullet"/>
      </w:pPr>
      <w:r>
        <w:rPr>
          <w:b/>
        </w:rPr>
        <w:t>Integrations:</w:t>
      </w:r>
      <w:r>
        <w:t xml:space="preserve"> Multi-adapter architecture supporting Sage 300 (Timberline), Sage Intacct, QuickBooks Online, and MS Dynamics 365 (ABN).</w:t>
      </w:r>
    </w:p>
    <w:p>
      <w:r>
        <w:br w:type="page"/>
      </w:r>
    </w:p>
    <w:p>
      <w:pPr>
        <w:pStyle w:val="Heading1"/>
      </w:pPr>
      <w:r>
        <w:t>HFSystem - Administration &amp; Settings</w:t>
      </w:r>
    </w:p>
    <w:p>
      <w:r>
        <w:rPr>
          <w:i/>
          <w:color w:val="6E6E6E"/>
          <w:sz w:val="19"/>
        </w:rPr>
        <w:t>Metadata: ID=hfsystem | Icon=⚙️ | Path=HomeFront VB6 &gt; HFSystem</w:t>
      </w:r>
    </w:p>
    <w:p>
      <w:pPr>
        <w:pStyle w:val="Heading1"/>
      </w:pPr>
      <w:r>
        <w:t>HFSystem: Core Setup &amp; Job Costing Client</w:t>
      </w:r>
    </w:p>
    <w:p>
      <w:r>
        <w:rPr>
          <w:rFonts w:ascii="Courier New" w:hAnsi="Courier New"/>
          <w:sz w:val="20"/>
        </w:rPr>
        <w:t>HFSystem.vbp</w:t>
      </w:r>
      <w:r>
        <w:t xml:space="preserve"> is the administrative hub of the HomeFront suite. It establishes the organizational boundaries (companies, divisions, and communities) and coordinates the purchasing cycle by managing vendors and producing Purchase Orders (POs).</w:t>
      </w:r>
    </w:p>
    <w:p>
      <w:pPr>
        <w:pStyle w:val="Heading2"/>
      </w:pPr>
      <w:r>
        <w:t>Key Components &amp; Forms</w:t>
      </w:r>
    </w:p>
    <w:p>
      <w:pPr>
        <w:pStyle w:val="Heading3"/>
      </w:pPr>
      <w:r>
        <w:t>1. System Configuration &amp; Options (FOptions.frm)</w:t>
      </w:r>
    </w:p>
    <w:p>
      <w:r>
        <w:t>Manages global system flags, directory links, SMTP server parameters, PDF generator templates, and accounting system bindings. It holds configuration profiles for integrations like Sage, QuickBooks, and BuildPro.</w:t>
      </w:r>
    </w:p>
    <w:p>
      <w:pPr>
        <w:pStyle w:val="Heading3"/>
      </w:pPr>
      <w:r>
        <w:t>2. Security &amp; User Management (FUserPermissions.frm)</w:t>
      </w:r>
    </w:p>
    <w:p>
      <w:r>
        <w:t>Configures security profiles, mapping specific groups to application forms, reports, and administrative tasks. The system features a 9-tab permissions system, including a dedicated **Data Portal** access matrix.</w:t>
      </w:r>
    </w:p>
    <w:p>
      <w:pPr>
        <w:pStyle w:val="Heading3"/>
      </w:pPr>
      <w:r>
        <w:t>3. Community &amp; Job Setup (FCommunities.frm, FJob.frm)</w:t>
      </w:r>
    </w:p>
    <w:p>
      <w:pPr>
        <w:pStyle w:val="ListBullet"/>
      </w:pPr>
      <w:r>
        <w:rPr>
          <w:b/>
        </w:rPr>
        <w:t>Communities (Subdivisions):</w:t>
      </w:r>
      <w:r>
        <w:t xml:space="preserve"> Defines phases, layout styles, target pricing groups, and locality dimensions.</w:t>
      </w:r>
    </w:p>
    <w:p>
      <w:pPr>
        <w:pStyle w:val="ListBullet"/>
      </w:pPr>
      <w:r>
        <w:rPr>
          <w:b/>
        </w:rPr>
        <w:t>Jobs (Lots):</w:t>
      </w:r>
      <w:r>
        <w:t xml:space="preserve"> Connects a lot to a division/community, references the schedule template, shell/unit templates, and tracks status. A key feature is the </w:t>
      </w:r>
      <w:r>
        <w:rPr>
          <w:i/>
        </w:rPr>
        <w:t>Precon Jobs</w:t>
      </w:r>
      <w:r>
        <w:t xml:space="preserve"> pipeline which manages template stages prior to physical construction start.</w:t>
      </w:r>
    </w:p>
    <w:p>
      <w:pPr>
        <w:pStyle w:val="Heading3"/>
      </w:pPr>
      <w:r>
        <w:t>4. Vendor Directory &amp; Purchasing (FVendor.frm, FPOIndex.frm, FPurchaseOrder.frm)</w:t>
      </w:r>
    </w:p>
    <w:p>
      <w:pPr>
        <w:pStyle w:val="ListBullet"/>
      </w:pPr>
      <w:r>
        <w:rPr>
          <w:b/>
        </w:rPr>
        <w:t>Vendor Profile:</w:t>
      </w:r>
      <w:r>
        <w:t xml:space="preserve"> Houses address data, tax parameters, and default trades/cost code assignments.</w:t>
      </w:r>
    </w:p>
    <w:p>
      <w:pPr>
        <w:pStyle w:val="ListBullet"/>
      </w:pPr>
      <w:r>
        <w:rPr>
          <w:b/>
        </w:rPr>
        <w:t>PO Hub:</w:t>
      </w:r>
      <w:r>
        <w:t xml:space="preserve"> Standard interface to search, audit, cancel, and email purchase orders. Cancelling a PO clears its BuildPro transmission timestamp (</w:t>
      </w:r>
      <w:r>
        <w:rPr>
          <w:rFonts w:ascii="Courier New" w:hAnsi="Courier New"/>
          <w:sz w:val="20"/>
        </w:rPr>
        <w:t>DateSentToBuildPro = NULL</w:t>
      </w:r>
      <w:r>
        <w:t>) and updates the record timestamp.</w:t>
      </w:r>
    </w:p>
    <w:tbl>
      <w:tblPr>
        <w:tblW w:type="auto" w:w="0"/>
        <w:tblLayout w:type="fixed"/>
        <w:tblLook w:firstColumn="1" w:firstRow="1" w:lastColumn="0" w:lastRow="0" w:noHBand="0" w:noVBand="1" w:val="04A0"/>
      </w:tblPr>
      <w:tblGrid>
        <w:gridCol w:w="8640"/>
      </w:tblGrid>
      <w:tr>
        <w:tc>
          <w:tcPr>
            <w:tcW w:type="dxa" w:w="8640"/>
            <w:shd w:val="clear" w:color="auto" w:fill="E3FCEF"/>
            <w:tcBorders>
              <w:left w:val="single" w:sz="36" w:space="0" w:color="36B37E"/>
              <w:top w:val="nil"/>
              <w:bottom w:val="nil"/>
              <w:right w:val="nil"/>
            </w:tcBorders>
          </w:tcPr>
          <w:p>
            <w:r>
              <w:rPr>
                <w:b/>
              </w:rPr>
              <w:t>Database Locking Mechanism:</w:t>
            </w:r>
            <w:r>
              <w:t xml:space="preserve"> Admin functions make use of the </w:t>
            </w:r>
            <w:r>
              <w:rPr>
                <w:rFonts w:ascii="Courier New" w:hAnsi="Courier New"/>
                <w:sz w:val="20"/>
              </w:rPr>
              <w:t>FTableLocks.frm</w:t>
            </w:r>
            <w:r>
              <w:t xml:space="preserve"> system. When performing critical tasks (like updating community-wide pricelists or schema upgrades), the application inserts rows in the lock directory to prevent concurrent edits.</w:t>
              <w:br/>
              <w:t xml:space="preserve">        </w:t>
            </w:r>
          </w:p>
        </w:tc>
      </w:tr>
    </w:tbl>
    <w:p>
      <w:pPr>
        <w:pStyle w:val="Heading2"/>
      </w:pPr>
      <w:r>
        <w:t>Program Hierarchy Map</w:t>
      </w:r>
    </w:p>
    <w:p>
      <w:pPr>
        <w:ind w:left="360"/>
      </w:pPr>
      <w:r>
        <w:rPr>
          <w:rFonts w:ascii="Courier New" w:hAnsi="Courier New"/>
          <w:sz w:val="19"/>
        </w:rPr>
        <w:br/>
        <w:t>HFSystem (Main Entry Point)</w:t>
        <w:br/>
        <w:t xml:space="preserve"> ├── FLogin (Authentication &amp; warning flags)</w:t>
        <w:br/>
        <w:t xml:space="preserve"> ├── FMain (Top navigation toolbar and menu dispatching)</w:t>
        <w:br/>
        <w:t xml:space="preserve"> │    ├── FCompany (Global details)</w:t>
        <w:br/>
        <w:t xml:space="preserve"> │    ├── FOptions (Accounting system, DMS, &amp; BuildPro setup)</w:t>
        <w:br/>
        <w:t xml:space="preserve"> │    ├── FUserPermissions (Tabbed access rights registry)</w:t>
        <w:br/>
        <w:t xml:space="preserve"> │    ├── FCommunities (Community phases &amp; tax setups)</w:t>
        <w:br/>
        <w:t xml:space="preserve"> │    │    └── FDefaultVendors (Default cost code assignments)</w:t>
        <w:br/>
        <w:t xml:space="preserve"> │    ├── FJob (Lot status, templates, and Precon milestones)</w:t>
        <w:br/>
        <w:t xml:space="preserve"> │    ├── FPOIndex (PO index, filter, and batch actions)</w:t>
        <w:br/>
        <w:t xml:space="preserve"> │    │    └── FPurchaseOrder (PO editor and lineitems review)</w:t>
        <w:br/>
        <w:t xml:space="preserve"> │    └── FDbUpgrade (Schema checking &amp; script executor)</w:t>
        <w:br/>
        <w:t xml:space="preserve"> └── MMain.bas (System startup routines &amp; configuration loading)</w:t>
        <w:br/>
        <w:t xml:space="preserve">      </w:t>
      </w:r>
    </w:p>
    <w:p>
      <w:pPr>
        <w:pStyle w:val="Heading2"/>
      </w:pPr>
      <w:r>
        <w:t>Schema Upgrade Scripts</w:t>
      </w:r>
    </w:p>
    <w:p>
      <w:r>
        <w:t>HFSystem maintains legacy upgrade scripts (</w:t>
      </w:r>
      <w:r>
        <w:rPr>
          <w:rFonts w:ascii="Courier New" w:hAnsi="Courier New"/>
          <w:sz w:val="20"/>
        </w:rPr>
        <w:t>MDBUpgrade2/3/4/5.bas</w:t>
      </w:r>
      <w:r>
        <w:t xml:space="preserve">) that run DDL scripts (e.g. </w:t>
      </w:r>
      <w:r>
        <w:rPr>
          <w:rFonts w:ascii="Courier New" w:hAnsi="Courier New"/>
          <w:sz w:val="20"/>
        </w:rPr>
        <w:t>ALTER TABLE</w:t>
      </w:r>
      <w:r>
        <w:t xml:space="preserve">, </w:t>
      </w:r>
      <w:r>
        <w:rPr>
          <w:rFonts w:ascii="Courier New" w:hAnsi="Courier New"/>
          <w:sz w:val="20"/>
        </w:rPr>
        <w:t>CREATE TABLE</w:t>
      </w:r>
      <w:r>
        <w:t xml:space="preserve">) on startup. In the modern Blazor app, these schema updates are handled via separate migration scripts, with checks to ensure tables like </w:t>
      </w:r>
      <w:r>
        <w:rPr>
          <w:rFonts w:ascii="Courier New" w:hAnsi="Courier New"/>
          <w:sz w:val="20"/>
        </w:rPr>
        <w:t>D365FinancialDimensionValues</w:t>
      </w:r>
      <w:r>
        <w:t xml:space="preserve"> are present.</w:t>
      </w:r>
    </w:p>
    <w:p>
      <w:r>
        <w:br w:type="page"/>
      </w:r>
    </w:p>
    <w:p>
      <w:pPr>
        <w:pStyle w:val="Heading1"/>
      </w:pPr>
      <w:r>
        <w:t>HFEst - Estimating &amp; Takeoff Engine</w:t>
      </w:r>
    </w:p>
    <w:p>
      <w:r>
        <w:rPr>
          <w:i/>
          <w:color w:val="6E6E6E"/>
          <w:sz w:val="19"/>
        </w:rPr>
        <w:t>Metadata: ID=hfest | Icon=📐 | Path=HomeFront VB6 &gt; HFEst</w:t>
      </w:r>
    </w:p>
    <w:p>
      <w:pPr>
        <w:pStyle w:val="Heading1"/>
      </w:pPr>
      <w:r>
        <w:t>HFEst: Model &amp; Estimating Engine</w:t>
      </w:r>
    </w:p>
    <w:p>
      <w:r>
        <w:rPr>
          <w:rFonts w:ascii="Courier New" w:hAnsi="Courier New"/>
          <w:sz w:val="20"/>
        </w:rPr>
        <w:t>HFEst.vbp</w:t>
      </w:r>
      <w:r>
        <w:t xml:space="preserve"> is the core estimating engine. It allows builders to create a standardized library of building options (assemblies) and run calculations to determine exact construction quantities, material takeoffs, and cost budgets for specific jobs.</w:t>
      </w:r>
    </w:p>
    <w:p>
      <w:pPr>
        <w:pStyle w:val="Heading2"/>
      </w:pPr>
      <w:r>
        <w:t>Core Components</w:t>
      </w:r>
    </w:p>
    <w:p>
      <w:pPr>
        <w:pStyle w:val="Heading3"/>
      </w:pPr>
      <w:r>
        <w:t>1. The Assembly Library (FAssembly.frm)</w:t>
      </w:r>
    </w:p>
    <w:p>
      <w:r>
        <w:t>An **Assembly** represents a construction component (e.g., "Standard Exterior Wall" or "3/4 inch Plumbing Rough-in"). Each assembly contains items (materials and labor) tied to cost codes, phases, and formula expressions.</w:t>
      </w:r>
    </w:p>
    <w:p>
      <w:pPr>
        <w:pStyle w:val="Heading3"/>
      </w:pPr>
      <w:r>
        <w:t>2. Formula Parsing Engine (MFormulas.bas)</w:t>
      </w:r>
    </w:p>
    <w:p>
      <w:r>
        <w:t xml:space="preserve">The system evaluates algebraic formulas using a custom interpreter in </w:t>
      </w:r>
      <w:r>
        <w:rPr>
          <w:rFonts w:ascii="Courier New" w:hAnsi="Courier New"/>
          <w:sz w:val="20"/>
        </w:rPr>
        <w:t>MFormulas.bas</w:t>
      </w:r>
      <w:r>
        <w:t>. Formulas reference dimensions (e.g., width, height, perimeter, wall-area) and compute exact quantities for materials.</w:t>
      </w:r>
    </w:p>
    <w:tbl>
      <w:tblPr>
        <w:tblW w:type="auto" w:w="0"/>
        <w:tblLayout w:type="fixed"/>
        <w:tblLook w:firstColumn="1" w:firstRow="1" w:lastColumn="0" w:lastRow="0" w:noHBand="0" w:noVBand="1" w:val="04A0"/>
      </w:tblPr>
      <w:tblGrid>
        <w:gridCol w:w="8640"/>
      </w:tblGrid>
      <w:tr>
        <w:tc>
          <w:tcPr>
            <w:tcW w:type="dxa" w:w="8640"/>
            <w:shd w:val="clear" w:color="auto" w:fill="DEEBFF"/>
            <w:tcBorders>
              <w:left w:val="single" w:sz="36" w:space="0" w:color="0052CC"/>
              <w:top w:val="nil"/>
              <w:bottom w:val="nil"/>
              <w:right w:val="nil"/>
            </w:tcBorders>
          </w:tcPr>
          <w:p>
            <w:r>
              <w:rPr>
                <w:b/>
              </w:rPr>
              <w:t>Formula Variables:</w:t>
            </w:r>
            <w:r>
              <w:t xml:space="preserve"> Formulas parse standard arithmetic, logic conditions, and custom variables defined in </w:t>
            </w:r>
            <w:r>
              <w:rPr>
                <w:rFonts w:ascii="Courier New" w:hAnsi="Courier New"/>
                <w:sz w:val="20"/>
              </w:rPr>
              <w:t>FFormulaEditor.frm</w:t>
            </w:r>
            <w:r>
              <w:t>. Variables reference parameters bound to the job lot profile or option selections.</w:t>
              <w:br/>
              <w:t xml:space="preserve">        </w:t>
            </w:r>
          </w:p>
        </w:tc>
      </w:tr>
    </w:tbl>
    <w:p>
      <w:pPr>
        <w:pStyle w:val="Heading3"/>
      </w:pPr>
      <w:r>
        <w:t>3. Takeoff Worksheets (FTakeoff.frm)</w:t>
      </w:r>
    </w:p>
    <w:p>
      <w:r>
        <w:t>A **Takeoff** is a sheet where the estimator enters the dimensions of a job. The system processes the dimensions through the assembly formulas, automatically creating items, quantities, and starting costs to compile the budget.</w:t>
      </w:r>
    </w:p>
    <w:p>
      <w:pPr>
        <w:pStyle w:val="Heading3"/>
      </w:pPr>
      <w:r>
        <w:t>4. Pricing &amp; Adjustments (FAddPricelist.frm, FPriceList.frm)</w:t>
      </w:r>
    </w:p>
    <w:p>
      <w:r>
        <w:t>Allows estimators to adjust vendor pricing globally or by division. The estimating client was updated to support **multi-assembly pricing sheets** (instead of single-assembly selection), enabling users to edit vendor pricing across multiple assemblies and models in a single grid.</w:t>
      </w:r>
    </w:p>
    <w:p>
      <w:pPr>
        <w:pStyle w:val="Heading2"/>
      </w:pPr>
      <w:r>
        <w:t>Data Import Wizards</w:t>
      </w:r>
    </w:p>
    <w:p>
      <w:pPr>
        <w:pStyle w:val="ListBullet"/>
      </w:pPr>
      <w:r>
        <w:rPr>
          <w:b/>
        </w:rPr>
        <w:t>BIM Import (FBIMImport.frm):</w:t>
      </w:r>
      <w:r>
        <w:t xml:space="preserve"> Reads Building Information Modeling (BIM) export files and creates takeoff models automatically.</w:t>
      </w:r>
    </w:p>
    <w:p>
      <w:pPr>
        <w:pStyle w:val="ListBullet"/>
      </w:pPr>
      <w:r>
        <w:rPr>
          <w:b/>
        </w:rPr>
        <w:t>Assembly Import (FAssemblyImport.frm):</w:t>
      </w:r>
      <w:r>
        <w:t xml:space="preserve"> Wizard that uploads external Excel/CSV spreadsheets and maps them into staging tables (</w:t>
      </w:r>
      <w:r>
        <w:rPr>
          <w:rFonts w:ascii="Courier New" w:hAnsi="Courier New"/>
          <w:sz w:val="20"/>
        </w:rPr>
        <w:t>ImportedAssemblies</w:t>
      </w:r>
      <w:r>
        <w:t xml:space="preserve">, </w:t>
      </w:r>
      <w:r>
        <w:rPr>
          <w:rFonts w:ascii="Courier New" w:hAnsi="Courier New"/>
          <w:sz w:val="20"/>
        </w:rPr>
        <w:t>ImportedAssemblyTakeoffItems</w:t>
      </w:r>
      <w:r>
        <w:t>) before validating and committing them to the live catalog.</w:t>
      </w:r>
    </w:p>
    <w:p>
      <w:pPr>
        <w:pStyle w:val="Heading2"/>
      </w:pPr>
      <w:r>
        <w:t>Program Hierarchy Map</w:t>
      </w:r>
    </w:p>
    <w:p>
      <w:pPr>
        <w:ind w:left="360"/>
      </w:pPr>
      <w:r>
        <w:rPr>
          <w:rFonts w:ascii="Courier New" w:hAnsi="Courier New"/>
          <w:sz w:val="19"/>
        </w:rPr>
        <w:br/>
        <w:t>HFEst (Estimating Suite)</w:t>
        <w:br/>
        <w:t xml:space="preserve"> ├── FMain (Estimating menu bar and dashboards)</w:t>
        <w:br/>
        <w:t xml:space="preserve"> │    ├── FAssembly (Model &amp; Option Library catalog)</w:t>
        <w:br/>
        <w:t xml:space="preserve"> │    │    └── FAssemblyCosts (Cost breakdown and overhead margin grids)</w:t>
        <w:br/>
        <w:t xml:space="preserve"> │    ├── FTakeoff (The estimating worksheet for jobs)</w:t>
        <w:br/>
        <w:t xml:space="preserve"> │    │    └── FFormulaEditor (Formula and parameter script builder)</w:t>
        <w:br/>
        <w:t xml:space="preserve"> │    ├── FAddPricelist (Multi-assembly vendor pricelist editor)</w:t>
        <w:br/>
        <w:t xml:space="preserve"> │    ├── FAssemblyImport (Spreadsheet data import wizard)</w:t>
        <w:br/>
        <w:t xml:space="preserve"> │    ├── FBIMImport (BIM schema parser)</w:t>
        <w:br/>
        <w:t xml:space="preserve"> │    └── FAdjustPrices (Mass cost-adjustment tool)</w:t>
        <w:br/>
        <w:t xml:space="preserve"> ├── MFormulas.bas (Equation parsing and variable evaluation engine)</w:t>
        <w:br/>
        <w:t xml:space="preserve"> └── MAssemblyImport.bas (Staging tables validation and commit routines)</w:t>
        <w:br/>
        <w:t xml:space="preserve">      </w:t>
      </w:r>
    </w:p>
    <w:p>
      <w:r>
        <w:br w:type="page"/>
      </w:r>
    </w:p>
    <w:p>
      <w:pPr>
        <w:pStyle w:val="Heading1"/>
      </w:pPr>
      <w:r>
        <w:t>HFPayables - Accounts Payable Suite</w:t>
      </w:r>
    </w:p>
    <w:p>
      <w:r>
        <w:rPr>
          <w:i/>
          <w:color w:val="6E6E6E"/>
          <w:sz w:val="19"/>
        </w:rPr>
        <w:t>Metadata: ID=hfpayables | Icon=💳 | Path=HomeFront VB6 &gt; HFPayables</w:t>
      </w:r>
    </w:p>
    <w:p>
      <w:pPr>
        <w:pStyle w:val="Heading1"/>
      </w:pPr>
      <w:r>
        <w:t>HFPayables: Invoicing &amp; Disbursement Client</w:t>
      </w:r>
    </w:p>
    <w:p>
      <w:r>
        <w:rPr>
          <w:rFonts w:ascii="Courier New" w:hAnsi="Courier New"/>
          <w:sz w:val="20"/>
        </w:rPr>
        <w:t>HFPayables.vbp</w:t>
      </w:r>
      <w:r>
        <w:t xml:space="preserve"> is the Accounts Payable ledger module. It acts as the gatekeeper for cash outflows, ensuring that vendor invoices match the original Purchase Orders (POs) and budgets before they are approved for payment.</w:t>
      </w:r>
    </w:p>
    <w:p>
      <w:pPr>
        <w:pStyle w:val="Heading2"/>
      </w:pPr>
      <w:r>
        <w:t>Core Concepts</w:t>
      </w:r>
    </w:p>
    <w:p>
      <w:pPr>
        <w:pStyle w:val="Heading3"/>
      </w:pPr>
      <w:r>
        <w:t>1. Purchase Commitments (FCommitments.frm)</w:t>
      </w:r>
    </w:p>
    <w:p>
      <w:r>
        <w:t>Tracks financial commitments. When a PO is sent from HFSystem, it is recorded as a commitment. HFPayables monitors the progression of each commitment as invoices are received and matched against the PO lineitems.</w:t>
      </w:r>
    </w:p>
    <w:p>
      <w:pPr>
        <w:pStyle w:val="Heading3"/>
      </w:pPr>
      <w:r>
        <w:t>2. Select Invoices to Pay (FSelectInvoicesToPay.frm)</w:t>
      </w:r>
    </w:p>
    <w:p>
      <w:r>
        <w:t>An interactive grid displaying outstanding invoices. Accounts Payable administrators select invoices, apply discounts, set hold codes (e.g., lien hold, quality hold), and build payment batches.</w:t>
      </w:r>
    </w:p>
    <w:p>
      <w:pPr>
        <w:pStyle w:val="Heading3"/>
      </w:pPr>
      <w:r>
        <w:t>3. Visa Credit Card Importer (FVisaImporter.frm)</w:t>
      </w:r>
    </w:p>
    <w:p>
      <w:r>
        <w:t>Imports credit card statements in Excel format, maps individual charges to cost codes, jobs, and divisions, and automatically creates corresponding invoice records in the system.</w:t>
      </w:r>
    </w:p>
    <w:p>
      <w:pPr>
        <w:pStyle w:val="Heading3"/>
      </w:pPr>
      <w:r>
        <w:t>4. Wallet Batches (FWalletBatches.frm)</w:t>
      </w:r>
    </w:p>
    <w:p>
      <w:r>
        <w:t>Aggregates approved payments into batches. These batches coordinate bank bank reconciliations and feed direct exports to accounting ERP systems like QuickBooks or Sage.</w:t>
      </w:r>
    </w:p>
    <w:tbl>
      <w:tblPr>
        <w:tblW w:type="auto" w:w="0"/>
        <w:tblLayout w:type="fixed"/>
        <w:tblLook w:firstColumn="1" w:firstRow="1" w:lastColumn="0" w:lastRow="0" w:noHBand="0" w:noVBand="1" w:val="04A0"/>
      </w:tblPr>
      <w:tblGrid>
        <w:gridCol w:w="8640"/>
      </w:tblGrid>
      <w:tr>
        <w:tc>
          <w:tcPr>
            <w:tcW w:type="dxa" w:w="8640"/>
            <w:shd w:val="clear" w:color="auto" w:fill="FFEBE6"/>
            <w:tcBorders>
              <w:left w:val="single" w:sz="36" w:space="0" w:color="FF5630"/>
              <w:top w:val="nil"/>
              <w:bottom w:val="nil"/>
              <w:right w:val="nil"/>
            </w:tcBorders>
          </w:tcPr>
          <w:p>
            <w:r>
              <w:rPr>
                <w:b/>
              </w:rPr>
              <w:t>Backcharge Matching:</w:t>
            </w:r>
            <w:r>
              <w:t xml:space="preserve"> The </w:t>
            </w:r>
            <w:r>
              <w:rPr>
                <w:rFonts w:ascii="Courier New" w:hAnsi="Courier New"/>
                <w:sz w:val="20"/>
              </w:rPr>
              <w:t>FPickBackCharges.frm</w:t>
            </w:r>
            <w:r>
              <w:t xml:space="preserve"> module maps penalties or builder-repaired damages back to the vendor. Backcharges are deducted from payment balances during batch approval.</w:t>
              <w:br/>
              <w:t xml:space="preserve">        </w:t>
            </w:r>
          </w:p>
        </w:tc>
      </w:tr>
    </w:tbl>
    <w:p>
      <w:pPr>
        <w:pStyle w:val="Heading2"/>
      </w:pPr>
      <w:r>
        <w:t>Program Hierarchy Map</w:t>
      </w:r>
    </w:p>
    <w:p>
      <w:pPr>
        <w:ind w:left="360"/>
      </w:pPr>
      <w:r>
        <w:rPr>
          <w:rFonts w:ascii="Courier New" w:hAnsi="Courier New"/>
          <w:sz w:val="19"/>
        </w:rPr>
        <w:br/>
        <w:t>HFPayables (Disbursements Module)</w:t>
        <w:br/>
        <w:t xml:space="preserve"> ├── FMain (AP menu control)</w:t>
        <w:br/>
        <w:t xml:space="preserve"> │    ├── FCommitments (Purchase commitments ledger)</w:t>
        <w:br/>
        <w:t xml:space="preserve"> │    │    └── FCommitment (Detail viewer and manual adjustments)</w:t>
        <w:br/>
        <w:t xml:space="preserve"> │    ├── FImportInvoice (Batch OCR or EDI invoice imports)</w:t>
        <w:br/>
        <w:t xml:space="preserve"> │    ├── FSelectInvoicesToPay (Payment selector, hold flagger, &amp; terms editor)</w:t>
        <w:br/>
        <w:t xml:space="preserve"> │    ├── FWalletBatches (Bank draft batches and checks generation)</w:t>
        <w:br/>
        <w:t xml:space="preserve"> │    ├── FVisaImporter (Credit card charge allocations)</w:t>
        <w:br/>
        <w:t xml:space="preserve"> │    └── FPickBackCharges (Debit notes mapping grid)</w:t>
        <w:br/>
        <w:t xml:space="preserve"> ├── MAccounting.bas (Double-entry accounting calculations)</w:t>
        <w:br/>
        <w:t xml:space="preserve"> └── MAccountingNEW.bas (Sage Intacct &amp; modern JSON export extensions)</w:t>
        <w:br/>
        <w:t xml:space="preserve">      </w:t>
      </w:r>
    </w:p>
    <w:p>
      <w:r>
        <w:br w:type="page"/>
      </w:r>
    </w:p>
    <w:p>
      <w:pPr>
        <w:pStyle w:val="Heading1"/>
      </w:pPr>
      <w:r>
        <w:t>Workflow &amp; AutoNotice Systems</w:t>
      </w:r>
    </w:p>
    <w:p>
      <w:r>
        <w:rPr>
          <w:i/>
          <w:color w:val="6E6E6E"/>
          <w:sz w:val="19"/>
        </w:rPr>
        <w:t>Metadata: ID=workflow | Icon=🔄 | Path=HomeFront VB6 &gt; Workflow &amp; AutoNotice</w:t>
      </w:r>
    </w:p>
    <w:p>
      <w:pPr>
        <w:pStyle w:val="Heading1"/>
      </w:pPr>
      <w:r>
        <w:t>Workflow &amp; AutoNotice Systems</w:t>
      </w:r>
    </w:p>
    <w:p>
      <w:r>
        <w:t xml:space="preserve">The </w:t>
      </w:r>
      <w:r>
        <w:rPr>
          <w:b/>
        </w:rPr>
        <w:t>AutoNotice</w:t>
      </w:r>
      <w:r>
        <w:t xml:space="preserve"> framework is an automated messaging system written in C# (.NET). It listens for database triggers (like PO creation, job stage completion, or invoice holds) and dispatches alerts (emails, faxes, or files) using custom templates.</w:t>
      </w:r>
    </w:p>
    <w:p>
      <w:pPr>
        <w:pStyle w:val="Heading2"/>
      </w:pPr>
      <w:r>
        <w:t>Components of the Workflow Suite</w:t>
      </w:r>
    </w:p>
    <w:p>
      <w:pPr>
        <w:pStyle w:val="Heading3"/>
      </w:pPr>
      <w:r>
        <w:t>1. AutoNotice Service (AutoNotice.csproj)</w:t>
      </w:r>
    </w:p>
    <w:p>
      <w:r>
        <w:t>The background service that monitors events in the database. When an event fires, it evaluates user-defined rules and schedules notifications.</w:t>
      </w:r>
    </w:p>
    <w:p>
      <w:pPr>
        <w:pStyle w:val="Heading3"/>
      </w:pPr>
      <w:r>
        <w:t>2. HTML Editor Control (HTMLEditorControl.csproj)</w:t>
      </w:r>
    </w:p>
    <w:p>
      <w:r>
        <w:t xml:space="preserve">A Windows Forms/C# control wrapper for editing rich HTML email templates. It is embedded in the setup screens to allow editors to customize notices with variables (e.g., </w:t>
      </w:r>
      <w:r>
        <w:rPr>
          <w:rFonts w:ascii="Courier New" w:hAnsi="Courier New"/>
          <w:sz w:val="20"/>
        </w:rPr>
        <w:t>[VendorName]</w:t>
      </w:r>
      <w:r>
        <w:t xml:space="preserve">, </w:t>
      </w:r>
      <w:r>
        <w:rPr>
          <w:rFonts w:ascii="Courier New" w:hAnsi="Courier New"/>
          <w:sz w:val="20"/>
        </w:rPr>
        <w:t>[JobAddress]</w:t>
      </w:r>
      <w:r>
        <w:t xml:space="preserve">, </w:t>
      </w:r>
      <w:r>
        <w:rPr>
          <w:rFonts w:ascii="Courier New" w:hAnsi="Courier New"/>
          <w:sz w:val="20"/>
        </w:rPr>
        <w:t>[POTotal]</w:t>
      </w:r>
      <w:r>
        <w:t>).</w:t>
      </w:r>
    </w:p>
    <w:tbl>
      <w:tblPr>
        <w:tblW w:type="auto" w:w="0"/>
        <w:tblLayout w:type="fixed"/>
        <w:tblLook w:firstColumn="1" w:firstRow="1" w:lastColumn="0" w:lastRow="0" w:noHBand="0" w:noVBand="1" w:val="04A0"/>
      </w:tblPr>
      <w:tblGrid>
        <w:gridCol w:w="8640"/>
      </w:tblGrid>
      <w:tr>
        <w:tc>
          <w:tcPr>
            <w:tcW w:type="dxa" w:w="8640"/>
            <w:shd w:val="clear" w:color="auto" w:fill="DEEBFF"/>
            <w:tcBorders>
              <w:left w:val="single" w:sz="36" w:space="0" w:color="0052CC"/>
              <w:top w:val="nil"/>
              <w:bottom w:val="nil"/>
              <w:right w:val="nil"/>
            </w:tcBorders>
          </w:tcPr>
          <w:p>
            <w:r>
              <w:rPr>
                <w:b/>
              </w:rPr>
              <w:t>AutoNotice Schemas:</w:t>
            </w:r>
            <w:r>
              <w:t xml:space="preserve"> Configuration is stored in </w:t>
            </w:r>
            <w:r>
              <w:rPr>
                <w:rFonts w:ascii="Courier New" w:hAnsi="Courier New"/>
                <w:sz w:val="20"/>
              </w:rPr>
              <w:t>dsAutoEvents</w:t>
            </w:r>
            <w:r>
              <w:t xml:space="preserve">, </w:t>
            </w:r>
            <w:r>
              <w:rPr>
                <w:rFonts w:ascii="Courier New" w:hAnsi="Courier New"/>
                <w:sz w:val="20"/>
              </w:rPr>
              <w:t>dsAutoReports</w:t>
            </w:r>
            <w:r>
              <w:t xml:space="preserve">, and </w:t>
            </w:r>
            <w:r>
              <w:rPr>
                <w:rFonts w:ascii="Courier New" w:hAnsi="Courier New"/>
                <w:sz w:val="20"/>
              </w:rPr>
              <w:t>dsTriggers</w:t>
            </w:r>
            <w:r>
              <w:t xml:space="preserve"> database datasets. These map database event listeners to specific layouts.</w:t>
              <w:br/>
              <w:t xml:space="preserve">        </w:t>
            </w:r>
          </w:p>
        </w:tc>
      </w:tr>
    </w:tbl>
    <w:p>
      <w:pPr>
        <w:pStyle w:val="Heading2"/>
      </w:pPr>
      <w:r>
        <w:t>Workflow Lifecycle Diagram</w:t>
      </w:r>
    </w:p>
    <w:p>
      <w:pPr>
        <w:ind w:left="360"/>
      </w:pPr>
      <w:r>
        <w:rPr>
          <w:rFonts w:ascii="Courier New" w:hAnsi="Courier New"/>
          <w:sz w:val="19"/>
        </w:rPr>
        <w:br/>
        <w:t>[ Database Event ] (e.g., Job Phase 3 complete)</w:t>
        <w:br/>
        <w:t xml:space="preserve">       │</w:t>
        <w:br/>
        <w:t xml:space="preserve">       ▼</w:t>
        <w:br/>
        <w:t>[ Trigger Trap ] (Matches event code against dsTriggers)</w:t>
        <w:br/>
        <w:t xml:space="preserve">       │</w:t>
        <w:br/>
        <w:t xml:space="preserve">       ▼</w:t>
        <w:br/>
        <w:t>[ Rule Validator ] (Verifies criteria, e.g., "Vendor is ABN")</w:t>
        <w:br/>
        <w:t xml:space="preserve">       │</w:t>
        <w:br/>
        <w:t xml:space="preserve">       ▼</w:t>
        <w:br/>
        <w:t>[ HTML Builder ] (Compiles template using HTMLEditorControl)</w:t>
        <w:br/>
        <w:t xml:space="preserve">       │</w:t>
        <w:br/>
        <w:t xml:space="preserve">       ▼</w:t>
        <w:br/>
        <w:t>[ Dispatch Engine ] ➔ [ Email SMTP ] OR [ File Export ]</w:t>
        <w:br/>
        <w:t xml:space="preserve">      </w:t>
      </w:r>
    </w:p>
    <w:p>
      <w:pPr>
        <w:pStyle w:val="Heading2"/>
      </w:pPr>
      <w:r>
        <w:t>Recent Modernization in Blazor</w:t>
      </w:r>
    </w:p>
    <w:p>
      <w:r>
        <w:t>The **DocType-Aware Sending Wizard** (</w:t>
      </w:r>
      <w:r>
        <w:rPr>
          <w:rFonts w:ascii="Courier New" w:hAnsi="Courier New"/>
          <w:sz w:val="20"/>
        </w:rPr>
        <w:t>FSendingWizard.razor</w:t>
      </w:r>
      <w:r>
        <w:t>) represents the Blazor modernization of the PO/RFQ/NOI dispatch workflows:</w:t>
      </w:r>
    </w:p>
    <w:p>
      <w:pPr>
        <w:pStyle w:val="ListBullet"/>
      </w:pPr>
      <w:r>
        <w:rPr>
          <w:b/>
        </w:rPr>
        <w:t>Document Type Parameter:</w:t>
      </w:r>
      <w:r>
        <w:t xml:space="preserve"> The page supports path routing (</w:t>
      </w:r>
      <w:r>
        <w:rPr>
          <w:rFonts w:ascii="Courier New" w:hAnsi="Courier New"/>
          <w:sz w:val="20"/>
        </w:rPr>
        <w:t>/po-sending-wizard/{DocType}</w:t>
      </w:r>
      <w:r>
        <w:t>), resolving labels and task configurations for **POs**, **RFQs**, and **NOIs (Notice of Intent)**.</w:t>
      </w:r>
    </w:p>
    <w:p>
      <w:pPr>
        <w:pStyle w:val="ListBullet"/>
      </w:pPr>
      <w:r>
        <w:rPr>
          <w:b/>
        </w:rPr>
        <w:t>NOI Processing:</w:t>
      </w:r>
      <w:r>
        <w:t xml:space="preserve"> Collects recipients using PO distribution lists, and logs notification tracking records to coordinate with the external </w:t>
      </w:r>
      <w:r>
        <w:rPr>
          <w:rFonts w:ascii="Courier New" w:hAnsi="Courier New"/>
          <w:sz w:val="20"/>
        </w:rPr>
        <w:t>HFSend.exe</w:t>
      </w:r>
      <w:r>
        <w:t xml:space="preserve"> utility.</w:t>
      </w:r>
    </w:p>
    <w:p>
      <w:r>
        <w:br w:type="page"/>
      </w:r>
    </w:p>
    <w:p>
      <w:pPr>
        <w:pStyle w:val="Heading1"/>
      </w:pPr>
      <w:r>
        <w:t>HomeFrontPB - Modern Blazor Architecture</w:t>
      </w:r>
    </w:p>
    <w:p>
      <w:r>
        <w:rPr>
          <w:i/>
          <w:color w:val="6E6E6E"/>
          <w:sz w:val="19"/>
        </w:rPr>
        <w:t>Metadata: ID=blazor | Icon=🌐 | Path=HomeFrontPB &gt; Architecture</w:t>
      </w:r>
    </w:p>
    <w:p>
      <w:pPr>
        <w:pStyle w:val="Heading1"/>
      </w:pPr>
      <w:r>
        <w:t>HomeFrontPB: Modern Blazor Web Portal</w:t>
      </w:r>
    </w:p>
    <w:p>
      <w:r>
        <w:rPr>
          <w:rFonts w:ascii="Courier New" w:hAnsi="Courier New"/>
          <w:sz w:val="20"/>
        </w:rPr>
        <w:t>HomeFrontPB</w:t>
      </w:r>
      <w:r>
        <w:t xml:space="preserve"> is the modern web version of the suite, built using **C# Blazor Server**. It replaces the legacy VB6 client interfaces with a unified, browser-accessible ERP portal, maintaining synchronization with the desktop database.</w:t>
      </w:r>
    </w:p>
    <w:p>
      <w:pPr>
        <w:pStyle w:val="Heading2"/>
      </w:pPr>
      <w:r>
        <w:t>Architecture Stack</w:t>
      </w:r>
    </w:p>
    <w:p>
      <w:pPr>
        <w:pStyle w:val="ListBullet"/>
      </w:pPr>
      <w:r>
        <w:rPr>
          <w:b/>
        </w:rPr>
        <w:t>Frontend Framework:</w:t>
      </w:r>
      <w:r>
        <w:t xml:space="preserve"> Blazor Server (Razor Component lifecycle).</w:t>
      </w:r>
    </w:p>
    <w:p>
      <w:pPr>
        <w:pStyle w:val="ListBullet"/>
      </w:pPr>
      <w:r>
        <w:rPr>
          <w:b/>
        </w:rPr>
        <w:t>Database Helper (DbWrapperSqlServer.cs):</w:t>
      </w:r>
      <w:r>
        <w:t xml:space="preserve"> Custom wrapper around ADO.NET and Dapper, executing parameterized SQL, stored procedures, and handling transaction scopes.</w:t>
      </w:r>
    </w:p>
    <w:p>
      <w:pPr>
        <w:pStyle w:val="ListBullet"/>
      </w:pPr>
      <w:r>
        <w:rPr>
          <w:b/>
        </w:rPr>
        <w:t>UI Controls:</w:t>
      </w:r>
      <w:r>
        <w:t xml:space="preserve"> Built on the </w:t>
      </w:r>
      <w:r>
        <w:rPr>
          <w:b/>
        </w:rPr>
        <w:t>FlexKit Control Library</w:t>
      </w:r>
      <w:r>
        <w:t>, ensuring uniform aesthetics and grids matching the legacy desktop features.</w:t>
      </w:r>
    </w:p>
    <w:p>
      <w:pPr>
        <w:pStyle w:val="Heading2"/>
      </w:pPr>
      <w:r>
        <w:t>Shared Code Synchronizations</w:t>
      </w:r>
    </w:p>
    <w:p>
      <w:r>
        <w:t>Because the modernized client is used both on desktop WebApp and Mobile platforms, page files are kept byte-identical across directories. The core Blazor page files include: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4F5F7"/>
          </w:tcPr>
          <w:p>
            <w:r>
              <w:t>Blazor Component</w:t>
            </w:r>
          </w:p>
        </w:tc>
        <w:tc>
          <w:tcPr>
            <w:tcW w:type="dxa" w:w="2880"/>
            <w:shd w:val="clear" w:color="auto" w:fill="F4F5F7"/>
          </w:tcPr>
          <w:p>
            <w:r>
              <w:t>Original VB6 File</w:t>
            </w:r>
          </w:p>
        </w:tc>
        <w:tc>
          <w:tcPr>
            <w:tcW w:type="dxa" w:w="2880"/>
            <w:shd w:val="clear" w:color="auto" w:fill="F4F5F7"/>
          </w:tcPr>
          <w:p>
            <w:r>
              <w:t>Aesthetic &amp; Structural Design</w:t>
            </w:r>
          </w:p>
        </w:tc>
      </w:tr>
      <w:tr>
        <w:tc>
          <w:tcPr>
            <w:tcW w:type="dxa" w:w="2880"/>
          </w:tcPr>
          <w:p>
            <w:r>
              <w:rPr>
                <w:rFonts w:ascii="Courier New" w:hAnsi="Courier New"/>
                <w:sz w:val="20"/>
              </w:rPr>
              <w:t>FOptions.razor</w:t>
            </w:r>
          </w:p>
        </w:tc>
        <w:tc>
          <w:tcPr>
            <w:tcW w:type="dxa" w:w="2880"/>
          </w:tcPr>
          <w:p>
            <w:r>
              <w:rPr>
                <w:rFonts w:ascii="Courier New" w:hAnsi="Courier New"/>
                <w:sz w:val="20"/>
              </w:rPr>
              <w:t>FOptions.frm</w:t>
            </w:r>
          </w:p>
        </w:tc>
        <w:tc>
          <w:tcPr>
            <w:tcW w:type="dxa" w:w="2880"/>
          </w:tcPr>
          <w:p>
            <w:r>
              <w:t>Tabbed settings panel including masked Client Secret controls for ERP adapters.</w:t>
            </w:r>
          </w:p>
        </w:tc>
      </w:tr>
      <w:tr>
        <w:tc>
          <w:tcPr>
            <w:tcW w:type="dxa" w:w="2880"/>
          </w:tcPr>
          <w:p>
            <w:r>
              <w:rPr>
                <w:rFonts w:ascii="Courier New" w:hAnsi="Courier New"/>
                <w:sz w:val="20"/>
              </w:rPr>
              <w:t>FJob.razor</w:t>
            </w:r>
          </w:p>
        </w:tc>
        <w:tc>
          <w:tcPr>
            <w:tcW w:type="dxa" w:w="2880"/>
          </w:tcPr>
          <w:p>
            <w:r>
              <w:rPr>
                <w:rFonts w:ascii="Courier New" w:hAnsi="Courier New"/>
                <w:sz w:val="20"/>
              </w:rPr>
              <w:t>FJob.frm</w:t>
            </w:r>
          </w:p>
        </w:tc>
        <w:tc>
          <w:tcPr>
            <w:tcW w:type="dxa" w:w="2880"/>
          </w:tcPr>
          <w:p>
            <w:r>
              <w:t>TreeView grid representing Lot construction templates and Precon schedulers.</w:t>
            </w:r>
          </w:p>
        </w:tc>
      </w:tr>
      <w:tr>
        <w:tc>
          <w:tcPr>
            <w:tcW w:type="dxa" w:w="2880"/>
          </w:tcPr>
          <w:p>
            <w:r>
              <w:rPr>
                <w:rFonts w:ascii="Courier New" w:hAnsi="Courier New"/>
                <w:sz w:val="20"/>
              </w:rPr>
              <w:t>FPOIndex.razor</w:t>
            </w:r>
          </w:p>
        </w:tc>
        <w:tc>
          <w:tcPr>
            <w:tcW w:type="dxa" w:w="2880"/>
          </w:tcPr>
          <w:p>
            <w:r>
              <w:rPr>
                <w:rFonts w:ascii="Courier New" w:hAnsi="Courier New"/>
                <w:sz w:val="20"/>
              </w:rPr>
              <w:t>FPOIndex.frm</w:t>
            </w:r>
          </w:p>
        </w:tc>
        <w:tc>
          <w:tcPr>
            <w:tcW w:type="dxa" w:w="2880"/>
          </w:tcPr>
          <w:p>
            <w:r>
              <w:t>Interactive grid with QuickFilter toolbars and a direct bridge to the Sending Wizard.</w:t>
            </w:r>
          </w:p>
        </w:tc>
      </w:tr>
      <w:tr>
        <w:tc>
          <w:tcPr>
            <w:tcW w:type="dxa" w:w="2880"/>
          </w:tcPr>
          <w:p>
            <w:r>
              <w:rPr>
                <w:rFonts w:ascii="Courier New" w:hAnsi="Courier New"/>
                <w:sz w:val="20"/>
              </w:rPr>
              <w:t>FCommunities.razor</w:t>
            </w:r>
          </w:p>
        </w:tc>
        <w:tc>
          <w:tcPr>
            <w:tcW w:type="dxa" w:w="2880"/>
          </w:tcPr>
          <w:p>
            <w:r>
              <w:rPr>
                <w:rFonts w:ascii="Courier New" w:hAnsi="Courier New"/>
                <w:sz w:val="20"/>
              </w:rPr>
              <w:t>FCommunities.frm</w:t>
            </w:r>
          </w:p>
        </w:tc>
        <w:tc>
          <w:tcPr>
            <w:tcW w:type="dxa" w:w="2880"/>
          </w:tcPr>
          <w:p>
            <w:r>
              <w:t>Subdivision phase editor with conditional columns (e.g. Dynamics ABN Dimensions).</w:t>
            </w:r>
          </w:p>
        </w:tc>
      </w:tr>
      <w:tr>
        <w:tc>
          <w:tcPr>
            <w:tcW w:type="dxa" w:w="2880"/>
          </w:tcPr>
          <w:p>
            <w:r>
              <w:rPr>
                <w:rFonts w:ascii="Courier New" w:hAnsi="Courier New"/>
                <w:sz w:val="20"/>
              </w:rPr>
              <w:t>FAssemblyImport.razor</w:t>
            </w:r>
          </w:p>
        </w:tc>
        <w:tc>
          <w:tcPr>
            <w:tcW w:type="dxa" w:w="2880"/>
          </w:tcPr>
          <w:p>
            <w:r>
              <w:rPr>
                <w:rFonts w:ascii="Courier New" w:hAnsi="Courier New"/>
                <w:sz w:val="20"/>
              </w:rPr>
              <w:t>FAssemblyImport.frm</w:t>
            </w:r>
          </w:p>
        </w:tc>
        <w:tc>
          <w:tcPr>
            <w:tcW w:type="dxa" w:w="2880"/>
          </w:tcPr>
          <w:p>
            <w:r>
              <w:t>Data Import Wizard utilizing ClosedXML to parse and stage spreadsheet data.</w:t>
            </w:r>
          </w:p>
        </w:tc>
      </w:tr>
      <w:tr>
        <w:tc>
          <w:tcPr>
            <w:tcW w:type="dxa" w:w="2880"/>
          </w:tcPr>
          <w:p>
            <w:r>
              <w:rPr>
                <w:rFonts w:ascii="Courier New" w:hAnsi="Courier New"/>
                <w:sz w:val="20"/>
              </w:rPr>
              <w:t>FAddPricelist.razor</w:t>
            </w:r>
          </w:p>
        </w:tc>
        <w:tc>
          <w:tcPr>
            <w:tcW w:type="dxa" w:w="2880"/>
          </w:tcPr>
          <w:p>
            <w:r>
              <w:rPr>
                <w:rFonts w:ascii="Courier New" w:hAnsi="Courier New"/>
                <w:sz w:val="20"/>
              </w:rPr>
              <w:t>FAddPricelist.frm</w:t>
            </w:r>
          </w:p>
        </w:tc>
        <w:tc>
          <w:tcPr>
            <w:tcW w:type="dxa" w:w="2880"/>
          </w:tcPr>
          <w:p>
            <w:r>
              <w:t>Estimating multi-assembly grid editor utilizing complex SQL Union queries.</w:t>
            </w:r>
          </w:p>
        </w:tc>
      </w:tr>
    </w:tbl>
    <w:p>
      <w:pPr>
        <w:pStyle w:val="Heading2"/>
      </w:pPr>
      <w:r>
        <w:t>FlexKit UI Compliance</w:t>
      </w:r>
    </w:p>
    <w:p>
      <w:r>
        <w:t>Modernized pages replace HTML elements with reusable **FlexKit** controls. This ensures consistency and supports responsive behaviors:</w:t>
      </w:r>
    </w:p>
    <w:p>
      <w:pPr>
        <w:pStyle w:val="ListBullet"/>
      </w:pPr>
      <w:r>
        <w:rPr>
          <w:rFonts w:ascii="Courier New" w:hAnsi="Courier New"/>
          <w:sz w:val="20"/>
        </w:rPr>
        <w:t>ButtonControl</w:t>
      </w:r>
      <w:r>
        <w:t>: Custom styled, theme-aware buttons.</w:t>
      </w:r>
    </w:p>
    <w:p>
      <w:pPr>
        <w:pStyle w:val="ListBullet"/>
      </w:pPr>
      <w:r>
        <w:rPr>
          <w:rFonts w:ascii="Courier New" w:hAnsi="Courier New"/>
          <w:sz w:val="20"/>
        </w:rPr>
        <w:t>TextBoxControl</w:t>
      </w:r>
      <w:r>
        <w:t>: Text inputs with validation and auto-commit bindings.</w:t>
      </w:r>
    </w:p>
    <w:p>
      <w:pPr>
        <w:pStyle w:val="ListBullet"/>
      </w:pPr>
      <w:r>
        <w:rPr>
          <w:rFonts w:ascii="Courier New" w:hAnsi="Courier New"/>
          <w:sz w:val="20"/>
        </w:rPr>
        <w:t>CheckBoxControl</w:t>
      </w:r>
      <w:r>
        <w:t>: Uniform checkbox switches.</w:t>
      </w:r>
    </w:p>
    <w:p>
      <w:pPr>
        <w:pStyle w:val="ListBullet"/>
      </w:pPr>
      <w:r>
        <w:rPr>
          <w:rFonts w:ascii="Courier New" w:hAnsi="Courier New"/>
          <w:sz w:val="20"/>
        </w:rPr>
        <w:t>DropDownListControl</w:t>
      </w:r>
      <w:r>
        <w:t>: Standardized combobox dropdowns with nullable defaults.</w:t>
      </w:r>
    </w:p>
    <w:p>
      <w:pPr>
        <w:pStyle w:val="ListBullet"/>
      </w:pPr>
      <w:r>
        <w:rPr>
          <w:rFonts w:ascii="Courier New" w:hAnsi="Courier New"/>
          <w:sz w:val="20"/>
        </w:rPr>
        <w:t>AppGridLayout</w:t>
      </w:r>
      <w:r>
        <w:t>: Interactive data grid supporting sorting, cell edit commits, and row actions.</w:t>
      </w:r>
    </w:p>
    <w:tbl>
      <w:tblPr>
        <w:tblW w:type="auto" w:w="0"/>
        <w:tblLayout w:type="fixed"/>
        <w:tblLook w:firstColumn="1" w:firstRow="1" w:lastColumn="0" w:lastRow="0" w:noHBand="0" w:noVBand="1" w:val="04A0"/>
      </w:tblPr>
      <w:tblGrid>
        <w:gridCol w:w="8640"/>
      </w:tblGrid>
      <w:tr>
        <w:tc>
          <w:tcPr>
            <w:tcW w:type="dxa" w:w="8640"/>
            <w:shd w:val="clear" w:color="auto" w:fill="E3FCEF"/>
            <w:tcBorders>
              <w:left w:val="single" w:sz="36" w:space="0" w:color="36B37E"/>
              <w:top w:val="nil"/>
              <w:bottom w:val="nil"/>
              <w:right w:val="nil"/>
            </w:tcBorders>
          </w:tcPr>
          <w:p>
            <w:r>
              <w:rPr>
                <w:b/>
              </w:rPr>
              <w:t>Database Upgrades Whitelist:</w:t>
            </w:r>
            <w:r>
              <w:t xml:space="preserve"> Low-level database modifications (e.g. adding columns via </w:t>
            </w:r>
            <w:r>
              <w:rPr>
                <w:rFonts w:ascii="Courier New" w:hAnsi="Courier New"/>
                <w:sz w:val="20"/>
              </w:rPr>
              <w:t>ALTER TABLE</w:t>
            </w:r>
            <w:r>
              <w:t xml:space="preserve"> in </w:t>
            </w:r>
            <w:r>
              <w:rPr>
                <w:rFonts w:ascii="Courier New" w:hAnsi="Courier New"/>
                <w:sz w:val="20"/>
              </w:rPr>
              <w:t>FAddProperty.razor</w:t>
            </w:r>
            <w:r>
              <w:t xml:space="preserve">) are routed through a connection with the application name set to </w:t>
            </w:r>
            <w:r>
              <w:rPr>
                <w:rFonts w:ascii="Courier New" w:hAnsi="Courier New"/>
                <w:sz w:val="20"/>
              </w:rPr>
              <w:t>App=HFDBUpgradeWiz</w:t>
            </w:r>
            <w:r>
              <w:t xml:space="preserve"> to pass database trigger security.</w:t>
              <w:br/>
              <w:t xml:space="preserve">        </w:t>
            </w:r>
          </w:p>
        </w:tc>
      </w:tr>
    </w:tbl>
    <w:p>
      <w:r>
        <w:br w:type="page"/>
      </w:r>
    </w:p>
    <w:p>
      <w:pPr>
        <w:pStyle w:val="Heading1"/>
      </w:pPr>
      <w:r>
        <w:t>Database Schemas &amp; External ERP Integrations</w:t>
      </w:r>
    </w:p>
    <w:p>
      <w:r>
        <w:rPr>
          <w:i/>
          <w:color w:val="6E6E6E"/>
          <w:sz w:val="19"/>
        </w:rPr>
        <w:t>Metadata: ID=database | Icon=🗄️ | Path=Database &gt; Integrations</w:t>
      </w:r>
    </w:p>
    <w:p>
      <w:pPr>
        <w:pStyle w:val="Heading1"/>
      </w:pPr>
      <w:r>
        <w:t>Database Schemas &amp; ERP Adaptors</w:t>
      </w:r>
    </w:p>
    <w:p>
      <w:r>
        <w:t>The HomeFront database runs on Microsoft SQL Server. Transactions are synchronized with accounting software packages using dedicated integration modules.</w:t>
      </w:r>
    </w:p>
    <w:p>
      <w:r>
        <w:br w:type="page"/>
      </w:r>
    </w:p>
    <w:p>
      <w:pPr>
        <w:pStyle w:val="Heading1"/>
      </w:pPr>
      <w:r>
        <w:t>VB6 to Blazor Migration Registry</w:t>
      </w:r>
    </w:p>
    <w:p>
      <w:r>
        <w:rPr>
          <w:i/>
          <w:color w:val="6E6E6E"/>
          <w:sz w:val="19"/>
        </w:rPr>
        <w:t>Metadata: ID=migration | Icon=🔄 | Path=Database &gt; Migration Registry</w:t>
      </w:r>
    </w:p>
    <w:p>
      <w:pPr>
        <w:pStyle w:val="Heading1"/>
      </w:pPr>
      <w:r>
        <w:t>VB6 to Blazor Migration Registry</w:t>
      </w:r>
    </w:p>
    <w:p>
      <w:r>
        <w:t>This registry details the progress of the migration from the legacy VB6 codebase to modern ASP.NET Core Blazor pages, detailing file-level mapping and verification statuses.</w:t>
      </w:r>
    </w:p>
    <w:p>
      <w:pPr>
        <w:pStyle w:val="Heading2"/>
      </w:pPr>
      <w:r>
        <w:t>Migration Progress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4F5F7"/>
          </w:tcPr>
          <w:p>
            <w:r>
              <w:t>VB6 Module / Form</w:t>
            </w:r>
          </w:p>
        </w:tc>
        <w:tc>
          <w:tcPr>
            <w:tcW w:type="dxa" w:w="2160"/>
            <w:shd w:val="clear" w:color="auto" w:fill="F4F5F7"/>
          </w:tcPr>
          <w:p>
            <w:r>
              <w:t>Modern Blazor Target</w:t>
            </w:r>
          </w:p>
        </w:tc>
        <w:tc>
          <w:tcPr>
            <w:tcW w:type="dxa" w:w="2160"/>
            <w:shd w:val="clear" w:color="auto" w:fill="F4F5F7"/>
          </w:tcPr>
          <w:p>
            <w:r>
              <w:t>Migration Status</w:t>
            </w:r>
          </w:p>
        </w:tc>
        <w:tc>
          <w:tcPr>
            <w:tcW w:type="dxa" w:w="2160"/>
            <w:shd w:val="clear" w:color="auto" w:fill="F4F5F7"/>
          </w:tcPr>
          <w:p>
            <w:r>
              <w:t>Recent Fixes Applied</w:t>
            </w:r>
          </w:p>
        </w:tc>
      </w:tr>
      <w:tr>
        <w:tc>
          <w:tcPr>
            <w:tcW w:type="dxa" w:w="2160"/>
          </w:tcPr>
          <w:p>
            <w:r>
              <w:rPr>
                <w:rFonts w:ascii="Courier New" w:hAnsi="Courier New"/>
                <w:sz w:val="20"/>
              </w:rPr>
              <w:t>FOptions.frm</w:t>
            </w:r>
          </w:p>
        </w:tc>
        <w:tc>
          <w:tcPr>
            <w:tcW w:type="dxa" w:w="2160"/>
          </w:tcPr>
          <w:p>
            <w:r>
              <w:rPr>
                <w:rFonts w:ascii="Courier New" w:hAnsi="Courier New"/>
                <w:sz w:val="20"/>
              </w:rPr>
              <w:t>FOptions.razor</w:t>
            </w:r>
          </w:p>
        </w:tc>
        <w:tc>
          <w:tcPr>
            <w:tcW w:type="dxa" w:w="2160"/>
          </w:tcPr>
          <w:p>
            <w:r>
              <w:t>✅ Complete</w:t>
            </w:r>
          </w:p>
        </w:tc>
        <w:tc>
          <w:tcPr>
            <w:tcW w:type="dxa" w:w="2160"/>
          </w:tcPr>
          <w:p>
            <w:r>
              <w:t>Added Dynamics D365 ABN fields, masked secrets, and verified AppOptions serialization.</w:t>
            </w:r>
          </w:p>
        </w:tc>
      </w:tr>
      <w:tr>
        <w:tc>
          <w:tcPr>
            <w:tcW w:type="dxa" w:w="2160"/>
          </w:tcPr>
          <w:p>
            <w:r>
              <w:rPr>
                <w:rFonts w:ascii="Courier New" w:hAnsi="Courier New"/>
                <w:sz w:val="20"/>
              </w:rPr>
              <w:t>FJob.frm</w:t>
            </w:r>
          </w:p>
        </w:tc>
        <w:tc>
          <w:tcPr>
            <w:tcW w:type="dxa" w:w="2160"/>
          </w:tcPr>
          <w:p>
            <w:r>
              <w:rPr>
                <w:rFonts w:ascii="Courier New" w:hAnsi="Courier New"/>
                <w:sz w:val="20"/>
              </w:rPr>
              <w:t>FJob.razor</w:t>
            </w:r>
          </w:p>
        </w:tc>
        <w:tc>
          <w:tcPr>
            <w:tcW w:type="dxa" w:w="2160"/>
          </w:tcPr>
          <w:p>
            <w:r>
              <w:t>✅ Complete</w:t>
            </w:r>
          </w:p>
        </w:tc>
        <w:tc>
          <w:tcPr>
            <w:tcW w:type="dxa" w:w="2160"/>
          </w:tcPr>
          <w:p>
            <w:r>
              <w:t>Removed Holdback/Retainage UI, renamed labels, and added Precon schedules.</w:t>
            </w:r>
          </w:p>
        </w:tc>
      </w:tr>
      <w:tr>
        <w:tc>
          <w:tcPr>
            <w:tcW w:type="dxa" w:w="2160"/>
          </w:tcPr>
          <w:p>
            <w:r>
              <w:rPr>
                <w:rFonts w:ascii="Courier New" w:hAnsi="Courier New"/>
                <w:sz w:val="20"/>
              </w:rPr>
              <w:t>FPOIndex.frm</w:t>
            </w:r>
          </w:p>
        </w:tc>
        <w:tc>
          <w:tcPr>
            <w:tcW w:type="dxa" w:w="2160"/>
          </w:tcPr>
          <w:p>
            <w:r>
              <w:rPr>
                <w:rFonts w:ascii="Courier New" w:hAnsi="Courier New"/>
                <w:sz w:val="20"/>
              </w:rPr>
              <w:t>FPOIndex.razor</w:t>
            </w:r>
          </w:p>
        </w:tc>
        <w:tc>
          <w:tcPr>
            <w:tcW w:type="dxa" w:w="2160"/>
          </w:tcPr>
          <w:p>
            <w:r>
              <w:t>✅ Complete</w:t>
            </w:r>
          </w:p>
        </w:tc>
        <w:tc>
          <w:tcPr>
            <w:tcW w:type="dxa" w:w="2160"/>
          </w:tcPr>
          <w:p>
            <w:r>
              <w:t>Added Warranty/Precon checkboxes and BuildPro company cost-code checks.</w:t>
            </w:r>
          </w:p>
        </w:tc>
      </w:tr>
      <w:tr>
        <w:tc>
          <w:tcPr>
            <w:tcW w:type="dxa" w:w="2160"/>
          </w:tcPr>
          <w:p>
            <w:r>
              <w:rPr>
                <w:rFonts w:ascii="Courier New" w:hAnsi="Courier New"/>
                <w:sz w:val="20"/>
              </w:rPr>
              <w:t>FCommunities.frm</w:t>
            </w:r>
          </w:p>
        </w:tc>
        <w:tc>
          <w:tcPr>
            <w:tcW w:type="dxa" w:w="2160"/>
          </w:tcPr>
          <w:p>
            <w:r>
              <w:rPr>
                <w:rFonts w:ascii="Courier New" w:hAnsi="Courier New"/>
                <w:sz w:val="20"/>
              </w:rPr>
              <w:t>FCommunities.razor</w:t>
            </w:r>
          </w:p>
        </w:tc>
        <w:tc>
          <w:tcPr>
            <w:tcW w:type="dxa" w:w="2160"/>
          </w:tcPr>
          <w:p>
            <w:r>
              <w:t>✅ Complete</w:t>
            </w:r>
          </w:p>
        </w:tc>
        <w:tc>
          <w:tcPr>
            <w:tcW w:type="dxa" w:w="2160"/>
          </w:tcPr>
          <w:p>
            <w:r>
              <w:t>Added ABN Function column and prefilled blank records to user selectors.</w:t>
            </w:r>
          </w:p>
        </w:tc>
      </w:tr>
      <w:tr>
        <w:tc>
          <w:tcPr>
            <w:tcW w:type="dxa" w:w="2160"/>
          </w:tcPr>
          <w:p>
            <w:r>
              <w:rPr>
                <w:rFonts w:ascii="Courier New" w:hAnsi="Courier New"/>
                <w:sz w:val="20"/>
              </w:rPr>
              <w:t>FAssemblyImport.frm</w:t>
            </w:r>
          </w:p>
        </w:tc>
        <w:tc>
          <w:tcPr>
            <w:tcW w:type="dxa" w:w="2160"/>
          </w:tcPr>
          <w:p>
            <w:r>
              <w:rPr>
                <w:rFonts w:ascii="Courier New" w:hAnsi="Courier New"/>
                <w:sz w:val="20"/>
              </w:rPr>
              <w:t>FAssemblyImport.razor</w:t>
            </w:r>
          </w:p>
        </w:tc>
        <w:tc>
          <w:tcPr>
            <w:tcW w:type="dxa" w:w="2160"/>
          </w:tcPr>
          <w:p>
            <w:r>
              <w:t>✅ Complete</w:t>
            </w:r>
          </w:p>
        </w:tc>
        <w:tc>
          <w:tcPr>
            <w:tcW w:type="dxa" w:w="2160"/>
          </w:tcPr>
          <w:p>
            <w:r>
              <w:t>Created new Blazor page with ClosedXML spreadsheet parser.</w:t>
            </w:r>
          </w:p>
        </w:tc>
      </w:tr>
      <w:tr>
        <w:tc>
          <w:tcPr>
            <w:tcW w:type="dxa" w:w="2160"/>
          </w:tcPr>
          <w:p>
            <w:r>
              <w:rPr>
                <w:rFonts w:ascii="Courier New" w:hAnsi="Courier New"/>
                <w:sz w:val="20"/>
              </w:rPr>
              <w:t>FAddPricelist.frm</w:t>
            </w:r>
          </w:p>
        </w:tc>
        <w:tc>
          <w:tcPr>
            <w:tcW w:type="dxa" w:w="2160"/>
          </w:tcPr>
          <w:p>
            <w:r>
              <w:rPr>
                <w:rFonts w:ascii="Courier New" w:hAnsi="Courier New"/>
                <w:sz w:val="20"/>
              </w:rPr>
              <w:t>FAddPricelist.razor</w:t>
            </w:r>
          </w:p>
        </w:tc>
        <w:tc>
          <w:tcPr>
            <w:tcW w:type="dxa" w:w="2160"/>
          </w:tcPr>
          <w:p>
            <w:r>
              <w:t>✅ Complete</w:t>
            </w:r>
          </w:p>
        </w:tc>
        <w:tc>
          <w:tcPr>
            <w:tcW w:type="dxa" w:w="2160"/>
          </w:tcPr>
          <w:p>
            <w:r>
              <w:t>Reworked single-assembly pricing page to multi-assembly data grid.</w:t>
            </w:r>
          </w:p>
        </w:tc>
      </w:tr>
      <w:tr>
        <w:tc>
          <w:tcPr>
            <w:tcW w:type="dxa" w:w="2160"/>
          </w:tcPr>
          <w:p>
            <w:r>
              <w:rPr>
                <w:rFonts w:ascii="Courier New" w:hAnsi="Courier New"/>
                <w:sz w:val="20"/>
              </w:rPr>
              <w:t>FAssemblyReplicator.frm</w:t>
            </w:r>
          </w:p>
        </w:tc>
        <w:tc>
          <w:tcPr>
            <w:tcW w:type="dxa" w:w="2160"/>
          </w:tcPr>
          <w:p>
            <w:r>
              <w:rPr>
                <w:rFonts w:ascii="Courier New" w:hAnsi="Courier New"/>
                <w:sz w:val="20"/>
              </w:rPr>
              <w:t>FAssemblyReplicator.razor</w:t>
            </w:r>
          </w:p>
        </w:tc>
        <w:tc>
          <w:tcPr>
            <w:tcW w:type="dxa" w:w="2160"/>
          </w:tcPr>
          <w:p>
            <w:r>
              <w:t>✅ Complete</w:t>
            </w:r>
          </w:p>
        </w:tc>
        <w:tc>
          <w:tcPr>
            <w:tcW w:type="dxa" w:w="2160"/>
          </w:tcPr>
          <w:p>
            <w:r>
              <w:t>Fixed bug by limiting the copy join to DivisionID, Community, Assembly, Model, and Option.</w:t>
            </w:r>
          </w:p>
        </w:tc>
      </w:tr>
      <w:tr>
        <w:tc>
          <w:tcPr>
            <w:tcW w:type="dxa" w:w="2160"/>
          </w:tcPr>
          <w:p>
            <w:r>
              <w:rPr>
                <w:rFonts w:ascii="Courier New" w:hAnsi="Courier New"/>
                <w:sz w:val="20"/>
              </w:rPr>
              <w:t>FProgress.frm</w:t>
            </w:r>
          </w:p>
        </w:tc>
        <w:tc>
          <w:tcPr>
            <w:tcW w:type="dxa" w:w="2160"/>
          </w:tcPr>
          <w:p>
            <w:r>
              <w:rPr>
                <w:rFonts w:ascii="Courier New" w:hAnsi="Courier New"/>
                <w:sz w:val="20"/>
              </w:rPr>
              <w:t>FProgress.razor</w:t>
            </w:r>
          </w:p>
        </w:tc>
        <w:tc>
          <w:tcPr>
            <w:tcW w:type="dxa" w:w="2160"/>
          </w:tcPr>
          <w:p>
            <w:r>
              <w:t>✅ Complete</w:t>
            </w:r>
          </w:p>
        </w:tc>
        <w:tc>
          <w:tcPr>
            <w:tcW w:type="dxa" w:w="2160"/>
          </w:tcPr>
          <w:p>
            <w:r>
              <w:t>Cleaned up status message when count equals zero.</w:t>
            </w:r>
          </w:p>
        </w:tc>
      </w:tr>
    </w:tbl>
    <w:p>
      <w:pPr>
        <w:pStyle w:val="Heading2"/>
      </w:pPr>
      <w:r>
        <w:t>Verification &amp; Compilation Protocols</w:t>
      </w:r>
    </w:p>
    <w:p>
      <w:r>
        <w:t>Any modifications to shared pages must build without errors across both main solutions:</w:t>
      </w:r>
    </w:p>
    <w:p>
      <w:pPr>
        <w:pStyle w:val="ListNumber"/>
      </w:pPr>
      <w:r>
        <w:rPr>
          <w:b/>
        </w:rPr>
        <w:t>HomeFront Client Solution:</w:t>
      </w:r>
      <w:r>
        <w:t xml:space="preserve"> [HomeFront.csproj](file:///Users/wadood/projects/VBToCSharp/HomeFront/MobileSource/HomeFront/HomeFront.csproj)</w:t>
      </w:r>
    </w:p>
    <w:p>
      <w:pPr>
        <w:pStyle w:val="ListNumber"/>
      </w:pPr>
      <w:r>
        <w:rPr>
          <w:b/>
        </w:rPr>
        <w:t>Precision Builder Portal Solution:</w:t>
      </w:r>
      <w:r>
        <w:t xml:space="preserve"> [HomeFrontPB.csproj](file:///Users/wadood/projects/VBToCSharp/HomeFront/HomeFrontPB/HomeFrontPB.csproj)</w:t>
      </w:r>
    </w:p>
    <w:p>
      <w:pPr>
        <w:ind w:left="360"/>
      </w:pPr>
      <w:r>
        <w:rPr>
          <w:rFonts w:ascii="Courier New" w:hAnsi="Courier New"/>
          <w:sz w:val="19"/>
        </w:rPr>
        <w:br/>
        <w:t># Recommended CLI Verification Commands</w:t>
        <w:br/>
        <w:t>cd /Users/wadood/projects/VBToCSharp/HomeFront/HomeFrontPB</w:t>
        <w:br/>
        <w:t>dotnet build</w:t>
        <w:br/>
        <w:br/>
        <w:t>cd /Users/wadood/projects/VBToCSharp/HomeFront/MobileSource/HomeFront</w:t>
        <w:br/>
        <w:t>dotnet build</w:t>
        <w:br/>
        <w:t xml:space="preserve">      </w:t>
      </w:r>
    </w:p>
    <w:tbl>
      <w:tblPr>
        <w:tblW w:type="auto" w:w="0"/>
        <w:tblLayout w:type="fixed"/>
        <w:tblLook w:firstColumn="1" w:firstRow="1" w:lastColumn="0" w:lastRow="0" w:noHBand="0" w:noVBand="1" w:val="04A0"/>
      </w:tblPr>
      <w:tblGrid>
        <w:gridCol w:w="8640"/>
      </w:tblGrid>
      <w:tr>
        <w:tc>
          <w:tcPr>
            <w:tcW w:type="dxa" w:w="8640"/>
            <w:shd w:val="clear" w:color="auto" w:fill="DEEBFF"/>
            <w:tcBorders>
              <w:left w:val="single" w:sz="36" w:space="0" w:color="0052CC"/>
              <w:top w:val="nil"/>
              <w:bottom w:val="nil"/>
              <w:right w:val="nil"/>
            </w:tcBorders>
          </w:tcPr>
          <w:p>
            <w:r>
              <w:rPr>
                <w:b/>
              </w:rPr>
              <w:t>Database Consistency:</w:t>
            </w:r>
            <w:r>
              <w:t xml:space="preserve"> Verify database scripts against the development schema. Ensure staging tables (e.g. </w:t>
            </w:r>
            <w:r>
              <w:rPr>
                <w:rFonts w:ascii="Courier New" w:hAnsi="Courier New"/>
                <w:sz w:val="20"/>
              </w:rPr>
              <w:t>ImportedAssemblies</w:t>
            </w:r>
            <w:r>
              <w:t>) exist in your SQL Server database target before running spreadsheet import processes.</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