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60" w:lineRule="auto"/>
        <w:jc w:val="right"/>
        <w:bidi w:val="1"/>
      </w:pPr>
      <w:r>
        <w:rPr>
          <w:rFonts w:ascii="Calibri" w:hAnsi="Calibri" w:cs="Arial"/>
          <w:b/>
          <w:color w:val="0E8088"/>
          <w:sz w:val="24"/>
        </w:rPr>
        <w:t>تقرير تقني وتشغيلي</w:t>
      </w:r>
    </w:p>
    <w:p>
      <w:pPr>
        <w:spacing w:after="240" w:before="0" w:line="360" w:lineRule="auto"/>
        <w:jc w:val="right"/>
        <w:bidi w:val="1"/>
      </w:pPr>
      <w:r>
        <w:rPr>
          <w:rFonts w:ascii="Calibri" w:hAnsi="Calibri" w:cs="Arial"/>
          <w:b/>
          <w:color w:val="0E4D64"/>
          <w:sz w:val="44"/>
        </w:rPr>
        <w:t>آلية عمل نظام محاسبة متاجر الكمسيون</w:t>
        <w:br/>
        <w:t>(البيع بالعمولة / Consignment)</w:t>
      </w:r>
    </w:p>
    <w:p>
      <w:pPr>
        <w:spacing w:after="320" w:before="0" w:line="360" w:lineRule="auto"/>
        <w:jc w:val="right"/>
        <w:bidi w:val="1"/>
      </w:pPr>
      <w:r>
        <w:rPr>
          <w:rFonts w:ascii="Calibri" w:hAnsi="Calibri" w:cs="Arial"/>
          <w:b w:val="0"/>
          <w:color w:val="4B5563"/>
          <w:sz w:val="24"/>
        </w:rPr>
        <w:t>شرح مبسّط وشامل لكيفية عمل النظام من الفكرة التجارية حتى الدفتر والتسويات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0E8088" w:val="clear"/>
            <w:tcBorders>
              <w:top w:val="single" w:sz="4" w:color="0E8088"/>
              <w:left w:val="single" w:sz="4" w:color="0E8088"/>
              <w:bottom w:val="single" w:sz="4" w:color="0E8088"/>
              <w:right w:val="single" w:sz="4" w:color="0E8088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/>
                <w:color w:val="FFFFFF"/>
                <w:sz w:val="20"/>
              </w:rPr>
              <w:t>البند</w:t>
            </w:r>
          </w:p>
        </w:tc>
        <w:tc>
          <w:tcPr>
            <w:tcW w:type="dxa" w:w="4819"/>
            <w:shd w:fill="0E8088" w:val="clear"/>
            <w:tcBorders>
              <w:top w:val="single" w:sz="4" w:color="0E8088"/>
              <w:left w:val="single" w:sz="4" w:color="0E8088"/>
              <w:bottom w:val="single" w:sz="4" w:color="0E8088"/>
              <w:right w:val="single" w:sz="4" w:color="0E8088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/>
                <w:color w:val="FFFFFF"/>
                <w:sz w:val="20"/>
              </w:rPr>
              <w:t>القيمة</w:t>
            </w:r>
          </w:p>
        </w:tc>
      </w:tr>
      <w:tr>
        <w:tc>
          <w:tcPr>
            <w:tcW w:type="dxa" w:w="4819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اسم المشروع</w:t>
            </w:r>
          </w:p>
        </w:tc>
        <w:tc>
          <w:tcPr>
            <w:tcW w:type="dxa" w:w="4819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Consignment Accounting System</w:t>
            </w:r>
          </w:p>
        </w:tc>
      </w:tr>
      <w:tr>
        <w:tc>
          <w:tcPr>
            <w:tcW w:type="dxa" w:w="4819"/>
            <w:shd w:fill="E8F6F7" w:val="clear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التقنيات</w:t>
            </w:r>
          </w:p>
        </w:tc>
        <w:tc>
          <w:tcPr>
            <w:tcW w:type="dxa" w:w="4819"/>
            <w:shd w:fill="E8F6F7" w:val="clear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React.js · Node.js / Express · Prisma 7 · MariaDB 11.8+</w:t>
            </w:r>
          </w:p>
        </w:tc>
      </w:tr>
      <w:tr>
        <w:tc>
          <w:tcPr>
            <w:tcW w:type="dxa" w:w="4819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نموذج العمل</w:t>
            </w:r>
          </w:p>
        </w:tc>
        <w:tc>
          <w:tcPr>
            <w:tcW w:type="dxa" w:w="4819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متعدد المستأجرين (SaaS) — متجر كمسيون لكل مستأجر</w:t>
            </w:r>
          </w:p>
        </w:tc>
      </w:tr>
      <w:tr>
        <w:tc>
          <w:tcPr>
            <w:tcW w:type="dxa" w:w="4819"/>
            <w:shd w:fill="E8F6F7" w:val="clear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العملة الافتراضية</w:t>
            </w:r>
          </w:p>
        </w:tc>
        <w:tc>
          <w:tcPr>
            <w:tcW w:type="dxa" w:w="4819"/>
            <w:shd w:fill="E8F6F7" w:val="clear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SYP (قابلة للتغيير لكل متجر)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color="D6B656"/>
              <w:left w:val="single" w:sz="4" w:color="D6B656"/>
              <w:bottom w:val="single" w:sz="4" w:color="D6B656"/>
              <w:right w:val="single" w:sz="4" w:color="D6B656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/>
                <w:color w:val="8A6D1D"/>
                <w:sz w:val="22"/>
              </w:rPr>
              <w:t>الفكرة في جملة واحدة</w:t>
            </w:r>
          </w:p>
          <w:p>
            <w:pPr>
              <w:jc w:val="right"/>
              <w:bidi w:val="1"/>
            </w:pPr>
            <w:r>
              <w:rPr>
                <w:rFonts w:ascii="Calibri" w:hAnsi="Calibri" w:cs="Arial"/>
                <w:b w:val="0"/>
                <w:color w:val="1F2937"/>
                <w:sz w:val="20"/>
              </w:rPr>
              <w:t>المورد (غالباً مزارع) يضع بضاعته أمانة في المتجر. المتجر يبيعها مقابل عمولة، ولا يدفع للمورد إلا بعد البيع عبر تسوية محاسبية واضحة.</w:t>
            </w:r>
          </w:p>
        </w:tc>
      </w:tr>
    </w:tbl>
    <w:p/>
    <w:p>
      <w:pPr>
        <w:spacing w:before="360" w:after="200"/>
        <w:jc w:val="right"/>
        <w:bidi w:val="1"/>
        <w:pBdr>
          <w:bottom w:val="single" w:sz="12" w:space="4" w:color="0E8088"/>
        </w:pBdr>
      </w:pPr>
      <w:r>
        <w:rPr>
          <w:rFonts w:ascii="Calibri" w:hAnsi="Calibri" w:cs="Arial"/>
          <w:b/>
          <w:color w:val="0E4D64"/>
          <w:sz w:val="32"/>
        </w:rPr>
        <w:t>1. الفكرة التجارية باختصار</w:t>
      </w:r>
    </w:p>
    <w:p>
      <w:pPr>
        <w:spacing w:after="120" w:before="0" w:line="360" w:lineRule="auto"/>
        <w:jc w:val="right"/>
        <w:bidi w:val="1"/>
      </w:pPr>
      <w:r>
        <w:rPr>
          <w:rFonts w:ascii="Calibri" w:hAnsi="Calibri" w:cs="Arial"/>
          <w:b w:val="0"/>
          <w:color w:val="1F2937"/>
          <w:sz w:val="22"/>
        </w:rPr>
        <w:t>النظام مخصّص لمتاجر تبيع منتجات موردين خارجيين دون أن تشتري البضاعة مسبقاً. البضاعة أمانة، والإيراد للمتجر هو العمولة فقط، والمستحق للمورد يُسجَّل ثم يُدفع لاحقاً.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0E8088" w:val="clear"/>
            <w:tcBorders>
              <w:top w:val="single" w:sz="4" w:color="0E8088"/>
              <w:left w:val="single" w:sz="4" w:color="0E8088"/>
              <w:bottom w:val="single" w:sz="4" w:color="0E8088"/>
              <w:right w:val="single" w:sz="4" w:color="0E8088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/>
                <w:color w:val="FFFFFF"/>
                <w:sz w:val="20"/>
              </w:rPr>
              <w:t>المفهوم</w:t>
            </w:r>
          </w:p>
        </w:tc>
        <w:tc>
          <w:tcPr>
            <w:tcW w:type="dxa" w:w="4819"/>
            <w:shd w:fill="0E8088" w:val="clear"/>
            <w:tcBorders>
              <w:top w:val="single" w:sz="4" w:color="0E8088"/>
              <w:left w:val="single" w:sz="4" w:color="0E8088"/>
              <w:bottom w:val="single" w:sz="4" w:color="0E8088"/>
              <w:right w:val="single" w:sz="4" w:color="0E8088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/>
                <w:color w:val="FFFFFF"/>
                <w:sz w:val="20"/>
              </w:rPr>
              <w:t>المعنى في النظام</w:t>
            </w:r>
          </w:p>
        </w:tc>
      </w:tr>
      <w:tr>
        <w:tc>
          <w:tcPr>
            <w:tcW w:type="dxa" w:w="4819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البضاعة</w:t>
            </w:r>
          </w:p>
        </w:tc>
        <w:tc>
          <w:tcPr>
            <w:tcW w:type="dxa" w:w="4819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أمانة لدى المتجر، ملك للمورد حتى تُباع</w:t>
            </w:r>
          </w:p>
        </w:tc>
      </w:tr>
      <w:tr>
        <w:tc>
          <w:tcPr>
            <w:tcW w:type="dxa" w:w="4819"/>
            <w:shd w:fill="E8F6F7" w:val="clear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إيراد المتجر</w:t>
            </w:r>
          </w:p>
        </w:tc>
        <w:tc>
          <w:tcPr>
            <w:tcW w:type="dxa" w:w="4819"/>
            <w:shd w:fill="E8F6F7" w:val="clear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عمولة تُقتطع عند البيع (نسبة أو مبلغ ثابت)</w:t>
            </w:r>
          </w:p>
        </w:tc>
      </w:tr>
      <w:tr>
        <w:tc>
          <w:tcPr>
            <w:tcW w:type="dxa" w:w="4819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مستحق المورد</w:t>
            </w:r>
          </w:p>
        </w:tc>
        <w:tc>
          <w:tcPr>
            <w:tcW w:type="dxa" w:w="4819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صافي سعر البيع بعد العمولة — يُدفع في تسوية لاحقة</w:t>
            </w:r>
          </w:p>
        </w:tc>
      </w:tr>
      <w:tr>
        <w:tc>
          <w:tcPr>
            <w:tcW w:type="dxa" w:w="4819"/>
            <w:shd w:fill="E8F6F7" w:val="clear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المخزون</w:t>
            </w:r>
          </w:p>
        </w:tc>
        <w:tc>
          <w:tcPr>
            <w:tcW w:type="dxa" w:w="4819"/>
            <w:shd w:fill="E8F6F7" w:val="clear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دفعات استلام منفصلة لكل مورد/منتج</w:t>
            </w:r>
          </w:p>
        </w:tc>
      </w:tr>
      <w:tr>
        <w:tc>
          <w:tcPr>
            <w:tcW w:type="dxa" w:w="4819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اختيار الدفعة</w:t>
            </w:r>
          </w:p>
        </w:tc>
        <w:tc>
          <w:tcPr>
            <w:tcW w:type="dxa" w:w="4819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حرّ — ليس FIFO إلزامياً؛ يمكن بيع الأحدث وترك الأقدم</w:t>
            </w:r>
          </w:p>
        </w:tc>
      </w:tr>
    </w:tbl>
    <w:p/>
    <w:p>
      <w:pPr>
        <w:spacing w:after="120" w:before="0" w:line="360" w:lineRule="auto"/>
        <w:jc w:val="right"/>
        <w:bidi w:val="1"/>
      </w:pPr>
      <w:r>
        <w:rPr>
          <w:rFonts w:ascii="Calibri" w:hAnsi="Calibri" w:cs="Arial"/>
          <w:b/>
          <w:color w:val="1F2937"/>
          <w:sz w:val="22"/>
        </w:rPr>
        <w:t>دورة الحياة الأساسية: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0F9FA" w:val="clear"/>
            <w:tcBorders>
              <w:top w:val="single" w:sz="4" w:color="0E8088"/>
              <w:left w:val="single" w:sz="4" w:color="0E8088"/>
              <w:bottom w:val="single" w:sz="4" w:color="0E8088"/>
              <w:right w:val="single" w:sz="4" w:color="0E8088"/>
            </w:tcBorders>
          </w:tcPr>
          <w:p>
            <w:pPr>
              <w:jc w:val="center"/>
              <w:bidi w:val="1"/>
            </w:pPr>
            <w:r/>
            <w:r>
              <w:rPr>
                <w:rFonts w:ascii="Calibri" w:hAnsi="Calibri" w:cs="Arial"/>
                <w:b/>
                <w:color w:val="0E4D64"/>
                <w:sz w:val="22"/>
              </w:rPr>
              <w:t>مورد يسلّم بضاعة  ←  المتجر يستلم (دفعة)</w:t>
            </w:r>
          </w:p>
          <w:p>
            <w:pPr>
              <w:jc w:val="center"/>
              <w:bidi w:val="1"/>
            </w:pPr>
            <w:r>
              <w:rPr>
                <w:rFonts w:ascii="Calibri" w:hAnsi="Calibri" w:cs="Arial"/>
                <w:b/>
                <w:color w:val="0E4D64"/>
                <w:sz w:val="22"/>
              </w:rPr>
              <w:t>↓</w:t>
            </w:r>
          </w:p>
          <w:p>
            <w:pPr>
              <w:jc w:val="center"/>
              <w:bidi w:val="1"/>
            </w:pPr>
            <w:r>
              <w:rPr>
                <w:rFonts w:ascii="Calibri" w:hAnsi="Calibri" w:cs="Arial"/>
                <w:b/>
                <w:color w:val="0E4D64"/>
                <w:sz w:val="22"/>
              </w:rPr>
              <w:t>كاشير يبيع للزبون (منتج / دفعة / سعر)</w:t>
            </w:r>
          </w:p>
          <w:p>
            <w:pPr>
              <w:jc w:val="center"/>
              <w:bidi w:val="1"/>
            </w:pPr>
            <w:r>
              <w:rPr>
                <w:rFonts w:ascii="Calibri" w:hAnsi="Calibri" w:cs="Arial"/>
                <w:b/>
                <w:color w:val="0E4D64"/>
                <w:sz w:val="22"/>
              </w:rPr>
              <w:t>↓</w:t>
            </w:r>
          </w:p>
          <w:p>
            <w:pPr>
              <w:jc w:val="center"/>
              <w:bidi w:val="1"/>
            </w:pPr>
            <w:r>
              <w:rPr>
                <w:rFonts w:ascii="Calibri" w:hAnsi="Calibri" w:cs="Arial"/>
                <w:b/>
                <w:color w:val="0E4D64"/>
                <w:sz w:val="22"/>
              </w:rPr>
              <w:t>تجميد العمولة + قيد في دفتر المورد + إنقاص الكمية</w:t>
            </w:r>
          </w:p>
          <w:p>
            <w:pPr>
              <w:jc w:val="center"/>
              <w:bidi w:val="1"/>
            </w:pPr>
            <w:r>
              <w:rPr>
                <w:rFonts w:ascii="Calibri" w:hAnsi="Calibri" w:cs="Arial"/>
                <w:b/>
                <w:color w:val="0E4D64"/>
                <w:sz w:val="22"/>
              </w:rPr>
              <w:t>↓</w:t>
            </w:r>
          </w:p>
          <w:p>
            <w:pPr>
              <w:jc w:val="center"/>
              <w:bidi w:val="1"/>
            </w:pPr>
            <w:r>
              <w:rPr>
                <w:rFonts w:ascii="Calibri" w:hAnsi="Calibri" w:cs="Arial"/>
                <w:b/>
                <w:color w:val="0E4D64"/>
                <w:sz w:val="22"/>
              </w:rPr>
              <w:t>تسوية دورية: إجمالي − خصومات = صافي يُدفع للمورد</w:t>
            </w:r>
          </w:p>
        </w:tc>
      </w:tr>
    </w:tbl>
    <w:p/>
    <w:p>
      <w:pPr>
        <w:spacing w:before="360" w:after="200"/>
        <w:jc w:val="right"/>
        <w:bidi w:val="1"/>
        <w:pBdr>
          <w:bottom w:val="single" w:sz="12" w:space="4" w:color="0E8088"/>
        </w:pBdr>
      </w:pPr>
      <w:r>
        <w:rPr>
          <w:rFonts w:ascii="Calibri" w:hAnsi="Calibri" w:cs="Arial"/>
          <w:b/>
          <w:color w:val="0E4D64"/>
          <w:sz w:val="32"/>
        </w:rPr>
        <w:t>2. بنية المستأجرين (SaaS) والأدوار</w:t>
      </w:r>
    </w:p>
    <w:p>
      <w:pPr>
        <w:spacing w:before="240" w:after="120"/>
        <w:jc w:val="right"/>
        <w:bidi w:val="1"/>
      </w:pPr>
      <w:r>
        <w:rPr>
          <w:rFonts w:ascii="Calibri" w:hAnsi="Calibri" w:cs="Arial"/>
          <w:b/>
          <w:color w:val="0E8088"/>
          <w:sz w:val="26"/>
        </w:rPr>
        <w:t>2.1 المتجر = مستأجر</w:t>
      </w:r>
    </w:p>
    <w:p>
      <w:pPr>
        <w:spacing w:after="120" w:before="0" w:line="360" w:lineRule="auto"/>
        <w:jc w:val="right"/>
        <w:bidi w:val="1"/>
      </w:pPr>
      <w:r>
        <w:rPr>
          <w:rFonts w:ascii="Calibri" w:hAnsi="Calibri" w:cs="Arial"/>
          <w:b w:val="0"/>
          <w:color w:val="1F2937"/>
          <w:sz w:val="22"/>
        </w:rPr>
        <w:t>كل متجر سجل مستقل (اسم، مالك، هاتف، عملة، حالة: تجريبي / نشط / معلّق / منتهٍ). كل البيانات التشغيلية مربوطة بـ tenant_id، والمفاتيح المركّبة تمنع خلط بيانات متجرين.</w:t>
      </w:r>
    </w:p>
    <w:p>
      <w:pPr>
        <w:spacing w:before="240" w:after="120"/>
        <w:jc w:val="right"/>
        <w:bidi w:val="1"/>
      </w:pPr>
      <w:r>
        <w:rPr>
          <w:rFonts w:ascii="Calibri" w:hAnsi="Calibri" w:cs="Arial"/>
          <w:b/>
          <w:color w:val="0E8088"/>
          <w:sz w:val="26"/>
        </w:rPr>
        <w:t>2.2 الاشتراك والباقات</w:t>
      </w:r>
    </w:p>
    <w:p>
      <w:pPr>
        <w:pStyle w:val="ListBullet"/>
        <w:spacing w:after="60" w:line="360" w:lineRule="auto"/>
        <w:jc w:val="right"/>
        <w:bidi w:val="1"/>
      </w:pPr>
      <w:r>
        <w:rPr>
          <w:rFonts w:ascii="Calibri" w:hAnsi="Calibri" w:cs="Arial"/>
          <w:b w:val="0"/>
          <w:color w:val="1F2937"/>
          <w:sz w:val="22"/>
        </w:rPr>
        <w:t>الباقات (plans): سعر، عملة، دورة فوترة، مزايا.</w:t>
      </w:r>
    </w:p>
    <w:p>
      <w:pPr>
        <w:pStyle w:val="ListBullet"/>
        <w:spacing w:after="60" w:line="360" w:lineRule="auto"/>
        <w:jc w:val="right"/>
        <w:bidi w:val="1"/>
      </w:pPr>
      <w:r>
        <w:rPr>
          <w:rFonts w:ascii="Calibri" w:hAnsi="Calibri" w:cs="Arial"/>
          <w:b w:val="0"/>
          <w:color w:val="1F2937"/>
          <w:sz w:val="22"/>
        </w:rPr>
        <w:t>الاشتراكات تحفظ لقطة من السعر والعملة عند الشراء حتى لا تتأثر الفواتير القديمة بتغيير الباقة.</w:t>
      </w:r>
    </w:p>
    <w:p>
      <w:pPr>
        <w:pStyle w:val="ListBullet"/>
        <w:spacing w:after="60" w:line="360" w:lineRule="auto"/>
        <w:jc w:val="right"/>
        <w:bidi w:val="1"/>
      </w:pPr>
      <w:r>
        <w:rPr>
          <w:rFonts w:ascii="Calibri" w:hAnsi="Calibri" w:cs="Arial"/>
          <w:b w:val="0"/>
          <w:color w:val="1F2937"/>
          <w:sz w:val="22"/>
        </w:rPr>
        <w:t>في التطبيق: منع تداخل اشتراكين، ومهمة تحوّل حالة المتجر إلى منتهٍ عند انتهاء الاشتراك.</w:t>
      </w:r>
    </w:p>
    <w:p>
      <w:pPr>
        <w:spacing w:before="240" w:after="120"/>
        <w:jc w:val="right"/>
        <w:bidi w:val="1"/>
      </w:pPr>
      <w:r>
        <w:rPr>
          <w:rFonts w:ascii="Calibri" w:hAnsi="Calibri" w:cs="Arial"/>
          <w:b/>
          <w:color w:val="0E8088"/>
          <w:sz w:val="26"/>
        </w:rPr>
        <w:t>2.3 المستخدمون والأدوار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0E8088" w:val="clear"/>
            <w:tcBorders>
              <w:top w:val="single" w:sz="4" w:color="0E8088"/>
              <w:left w:val="single" w:sz="4" w:color="0E8088"/>
              <w:bottom w:val="single" w:sz="4" w:color="0E8088"/>
              <w:right w:val="single" w:sz="4" w:color="0E8088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/>
                <w:color w:val="FFFFFF"/>
                <w:sz w:val="20"/>
              </w:rPr>
              <w:t>الدور</w:t>
            </w:r>
          </w:p>
        </w:tc>
        <w:tc>
          <w:tcPr>
            <w:tcW w:type="dxa" w:w="3213"/>
            <w:shd w:fill="0E8088" w:val="clear"/>
            <w:tcBorders>
              <w:top w:val="single" w:sz="4" w:color="0E8088"/>
              <w:left w:val="single" w:sz="4" w:color="0E8088"/>
              <w:bottom w:val="single" w:sz="4" w:color="0E8088"/>
              <w:right w:val="single" w:sz="4" w:color="0E8088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/>
                <w:color w:val="FFFFFF"/>
                <w:sz w:val="20"/>
              </w:rPr>
              <w:t>المتجر (tenant)</w:t>
            </w:r>
          </w:p>
        </w:tc>
        <w:tc>
          <w:tcPr>
            <w:tcW w:type="dxa" w:w="3213"/>
            <w:shd w:fill="0E8088" w:val="clear"/>
            <w:tcBorders>
              <w:top w:val="single" w:sz="4" w:color="0E8088"/>
              <w:left w:val="single" w:sz="4" w:color="0E8088"/>
              <w:bottom w:val="single" w:sz="4" w:color="0E8088"/>
              <w:right w:val="single" w:sz="4" w:color="0E8088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/>
                <w:color w:val="FFFFFF"/>
                <w:sz w:val="20"/>
              </w:rPr>
              <w:t>الاستخدام</w:t>
            </w:r>
          </w:p>
        </w:tc>
      </w:tr>
      <w:tr>
        <w:tc>
          <w:tcPr>
            <w:tcW w:type="dxa" w:w="3213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super_admin</w:t>
            </w:r>
          </w:p>
        </w:tc>
        <w:tc>
          <w:tcPr>
            <w:tcW w:type="dxa" w:w="3213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بدون متجر (NULL)</w:t>
            </w:r>
          </w:p>
        </w:tc>
        <w:tc>
          <w:tcPr>
            <w:tcW w:type="dxa" w:w="3213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إدارة المنصة</w:t>
            </w:r>
          </w:p>
        </w:tc>
      </w:tr>
      <w:tr>
        <w:tc>
          <w:tcPr>
            <w:tcW w:type="dxa" w:w="3213"/>
            <w:shd w:fill="E8F6F7" w:val="clear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store_admin</w:t>
            </w:r>
          </w:p>
        </w:tc>
        <w:tc>
          <w:tcPr>
            <w:tcW w:type="dxa" w:w="3213"/>
            <w:shd w:fill="E8F6F7" w:val="clear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إلزامي</w:t>
            </w:r>
          </w:p>
        </w:tc>
        <w:tc>
          <w:tcPr>
            <w:tcW w:type="dxa" w:w="3213"/>
            <w:shd w:fill="E8F6F7" w:val="clear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إدارة المتجر</w:t>
            </w:r>
          </w:p>
        </w:tc>
      </w:tr>
      <w:tr>
        <w:tc>
          <w:tcPr>
            <w:tcW w:type="dxa" w:w="3213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cashier</w:t>
            </w:r>
          </w:p>
        </w:tc>
        <w:tc>
          <w:tcPr>
            <w:tcW w:type="dxa" w:w="3213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إلزامي</w:t>
            </w:r>
          </w:p>
        </w:tc>
        <w:tc>
          <w:tcPr>
            <w:tcW w:type="dxa" w:w="3213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نقطة البيع</w:t>
            </w:r>
          </w:p>
        </w:tc>
      </w:tr>
      <w:tr>
        <w:tc>
          <w:tcPr>
            <w:tcW w:type="dxa" w:w="3213"/>
            <w:shd w:fill="E8F6F7" w:val="clear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vendor</w:t>
            </w:r>
          </w:p>
        </w:tc>
        <w:tc>
          <w:tcPr>
            <w:tcW w:type="dxa" w:w="3213"/>
            <w:shd w:fill="E8F6F7" w:val="clear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إلزامي</w:t>
            </w:r>
          </w:p>
        </w:tc>
        <w:tc>
          <w:tcPr>
            <w:tcW w:type="dxa" w:w="3213"/>
            <w:shd w:fill="E8F6F7" w:val="clear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دخول اختياري للمورد إن رُبط حساب</w:t>
            </w:r>
          </w:p>
        </w:tc>
      </w:tr>
    </w:tbl>
    <w:p/>
    <w:p>
      <w:pPr>
        <w:spacing w:after="120" w:before="0" w:line="360" w:lineRule="auto"/>
        <w:jc w:val="right"/>
        <w:bidi w:val="1"/>
      </w:pPr>
      <w:r>
        <w:rPr>
          <w:rFonts w:ascii="Calibri" w:hAnsi="Calibri" w:cs="Arial"/>
          <w:b w:val="0"/>
          <w:color w:val="4B5563"/>
          <w:sz w:val="20"/>
        </w:rPr>
        <w:t>عمود tenant_scope (= رقم المتجر أو 0 للسوبر أدمن) يُحدَّث تلقائياً ويُستخدم في المفاتيح الأجنبية حتى لا يربط كاشير متجر أ بفاتورة متجر ب.</w:t>
      </w:r>
    </w:p>
    <w:p>
      <w:pPr>
        <w:spacing w:before="240" w:after="120"/>
        <w:jc w:val="right"/>
        <w:bidi w:val="1"/>
      </w:pPr>
      <w:r>
        <w:rPr>
          <w:rFonts w:ascii="Calibri" w:hAnsi="Calibri" w:cs="Arial"/>
          <w:b/>
          <w:color w:val="0E8088"/>
          <w:sz w:val="26"/>
        </w:rPr>
        <w:t>2.4 ملف المورد</w:t>
      </w:r>
    </w:p>
    <w:p>
      <w:pPr>
        <w:spacing w:after="120" w:before="0" w:line="360" w:lineRule="auto"/>
        <w:jc w:val="right"/>
        <w:bidi w:val="1"/>
      </w:pPr>
      <w:r>
        <w:rPr>
          <w:rFonts w:ascii="Calibri" w:hAnsi="Calibri" w:cs="Arial"/>
          <w:b w:val="0"/>
          <w:color w:val="1F2937"/>
          <w:sz w:val="22"/>
        </w:rPr>
        <w:t>بيانات المورد داخل المتجر (مزرعة، بنك، رقم حساب — يُفضَّل تشفيره). ربطه بحساب مستخدم اختياري: يمكن أن يعمل المورد بدون تسجيل دخول.</w:t>
      </w:r>
    </w:p>
    <w:p>
      <w:pPr>
        <w:spacing w:before="360" w:after="200"/>
        <w:jc w:val="right"/>
        <w:bidi w:val="1"/>
        <w:pBdr>
          <w:bottom w:val="single" w:sz="12" w:space="4" w:color="0E8088"/>
        </w:pBdr>
      </w:pPr>
      <w:r>
        <w:rPr>
          <w:rFonts w:ascii="Calibri" w:hAnsi="Calibri" w:cs="Arial"/>
          <w:b/>
          <w:color w:val="0E4D64"/>
          <w:sz w:val="32"/>
        </w:rPr>
        <w:t>3. الكتالوج: أصناف ومنتجات ووحدات</w:t>
      </w:r>
    </w:p>
    <w:p>
      <w:pPr>
        <w:pStyle w:val="ListBullet"/>
        <w:spacing w:after="60" w:line="360" w:lineRule="auto"/>
        <w:jc w:val="right"/>
        <w:bidi w:val="1"/>
      </w:pPr>
      <w:r>
        <w:rPr>
          <w:rFonts w:ascii="Calibri" w:hAnsi="Calibri" w:cs="Arial"/>
          <w:b w:val="0"/>
          <w:color w:val="1F2937"/>
          <w:sz w:val="22"/>
        </w:rPr>
        <w:t>التصنيفات والمنتجات داخل كل متجر.</w:t>
      </w:r>
    </w:p>
    <w:p>
      <w:pPr>
        <w:pStyle w:val="ListBullet"/>
        <w:spacing w:after="60" w:line="360" w:lineRule="auto"/>
        <w:jc w:val="right"/>
        <w:bidi w:val="1"/>
      </w:pPr>
      <w:r>
        <w:rPr>
          <w:rFonts w:ascii="Calibri" w:hAnsi="Calibri" w:cs="Arial"/>
          <w:b w:val="0"/>
          <w:color w:val="1F2937"/>
          <w:sz w:val="22"/>
        </w:rPr>
        <w:t>لكل منتج سياسة عمولة افتراضية: نسبة أو ثابت، والثابت إما لكل وحدة أو مرة واحدة للبند.</w:t>
      </w:r>
    </w:p>
    <w:p>
      <w:pPr>
        <w:pStyle w:val="ListBullet"/>
        <w:spacing w:after="60" w:line="360" w:lineRule="auto"/>
        <w:jc w:val="right"/>
        <w:bidi w:val="1"/>
      </w:pPr>
      <w:r>
        <w:rPr>
          <w:rFonts w:ascii="Calibri" w:hAnsi="Calibri" w:cs="Arial"/>
          <w:b w:val="0"/>
          <w:color w:val="1F2937"/>
          <w:sz w:val="22"/>
        </w:rPr>
        <w:t>الوحدات (كيلو، صندوق، حبة…) تُسجَّل عند الاستلام والبيع.</w:t>
      </w:r>
    </w:p>
    <w:p>
      <w:pPr>
        <w:pStyle w:val="ListBullet"/>
        <w:spacing w:after="60" w:line="360" w:lineRule="auto"/>
        <w:jc w:val="right"/>
        <w:bidi w:val="1"/>
      </w:pPr>
      <w:r>
        <w:rPr>
          <w:rFonts w:ascii="Calibri" w:hAnsi="Calibri" w:cs="Arial"/>
          <w:b w:val="0"/>
          <w:color w:val="1F2937"/>
          <w:sz w:val="22"/>
        </w:rPr>
        <w:t>الحذف ناعم (deleted_at) مع إعادة تهيئة المفاتيح الفريدة حتى يمكن إعادة استخدام الاسم/الرابط.</w:t>
      </w:r>
    </w:p>
    <w:p>
      <w:pPr>
        <w:spacing w:before="360" w:after="200"/>
        <w:jc w:val="right"/>
        <w:bidi w:val="1"/>
        <w:pBdr>
          <w:bottom w:val="single" w:sz="12" w:space="4" w:color="0E8088"/>
        </w:pBdr>
      </w:pPr>
      <w:r>
        <w:rPr>
          <w:rFonts w:ascii="Calibri" w:hAnsi="Calibri" w:cs="Arial"/>
          <w:b/>
          <w:color w:val="0E4D64"/>
          <w:sz w:val="32"/>
        </w:rPr>
        <w:t>4. المخزون: الاستلام والدفعات والتعديلات</w:t>
      </w:r>
    </w:p>
    <w:p>
      <w:pPr>
        <w:spacing w:before="240" w:after="120"/>
        <w:jc w:val="right"/>
        <w:bidi w:val="1"/>
      </w:pPr>
      <w:r>
        <w:rPr>
          <w:rFonts w:ascii="Calibri" w:hAnsi="Calibri" w:cs="Arial"/>
          <w:b/>
          <w:color w:val="0E8088"/>
          <w:sz w:val="26"/>
        </w:rPr>
        <w:t>4.1 استلام البضاعة</w:t>
      </w:r>
    </w:p>
    <w:p>
      <w:pPr>
        <w:pStyle w:val="ListNumber"/>
        <w:spacing w:after="60" w:line="360" w:lineRule="auto"/>
        <w:jc w:val="right"/>
        <w:bidi w:val="1"/>
      </w:pPr>
      <w:r>
        <w:rPr>
          <w:rFonts w:ascii="Calibri" w:hAnsi="Calibri" w:cs="Arial"/>
          <w:b w:val="0"/>
          <w:color w:val="1F2937"/>
          <w:sz w:val="22"/>
        </w:rPr>
        <w:t>يُنشأ إيصال استلام لمورد معيّن ويستلمه موظف.</w:t>
      </w:r>
    </w:p>
    <w:p>
      <w:pPr>
        <w:pStyle w:val="ListNumber"/>
        <w:spacing w:after="60" w:line="360" w:lineRule="auto"/>
        <w:jc w:val="right"/>
        <w:bidi w:val="1"/>
      </w:pPr>
      <w:r>
        <w:rPr>
          <w:rFonts w:ascii="Calibri" w:hAnsi="Calibri" w:cs="Arial"/>
          <w:b w:val="0"/>
          <w:color w:val="1F2937"/>
          <w:sz w:val="22"/>
        </w:rPr>
        <w:t>لكل منتج في الإيصال «دفعة»: كمية مستلمة وكمية متبقية للبيع.</w:t>
      </w:r>
    </w:p>
    <w:p>
      <w:pPr>
        <w:pStyle w:val="ListNumber"/>
        <w:spacing w:after="60" w:line="360" w:lineRule="auto"/>
        <w:jc w:val="right"/>
        <w:bidi w:val="1"/>
      </w:pPr>
      <w:r>
        <w:rPr>
          <w:rFonts w:ascii="Calibri" w:hAnsi="Calibri" w:cs="Arial"/>
          <w:b w:val="0"/>
          <w:color w:val="1F2937"/>
          <w:sz w:val="22"/>
        </w:rPr>
        <w:t>الكمية المتبقية = المستلم − المبيعات + مرتجعات الزبون + تعديلات المخزون.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color="D6B656"/>
              <w:left w:val="single" w:sz="4" w:color="D6B656"/>
              <w:bottom w:val="single" w:sz="4" w:color="D6B656"/>
              <w:right w:val="single" w:sz="4" w:color="D6B656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/>
                <w:color w:val="8A6D1D"/>
                <w:sz w:val="22"/>
              </w:rPr>
              <w:t>مهم: اختيار الدفعة حرّ (ليس FIFO)</w:t>
            </w:r>
          </w:p>
          <w:p>
            <w:pPr>
              <w:jc w:val="right"/>
              <w:bidi w:val="1"/>
            </w:pPr>
            <w:r>
              <w:rPr>
                <w:rFonts w:ascii="Calibri" w:hAnsi="Calibri" w:cs="Arial"/>
                <w:b w:val="0"/>
                <w:color w:val="1F2937"/>
                <w:sz w:val="20"/>
              </w:rPr>
              <w:t>أي دفعة لنفس المنتج فيها كمية متبقية قابلة للبيع. الزبون قد يشتري من دفعة وصلت اليوم ويترك دفعة أقدم — وهذا مقصود في عمل متاجر الكمسيون مع المزارعين.</w:t>
            </w:r>
          </w:p>
        </w:tc>
      </w:tr>
    </w:tbl>
    <w:p/>
    <w:p>
      <w:pPr>
        <w:spacing w:before="240" w:after="120"/>
        <w:jc w:val="right"/>
        <w:bidi w:val="1"/>
      </w:pPr>
      <w:r>
        <w:rPr>
          <w:rFonts w:ascii="Calibri" w:hAnsi="Calibri" w:cs="Arial"/>
          <w:b/>
          <w:color w:val="0E8088"/>
          <w:sz w:val="26"/>
        </w:rPr>
        <w:t>4.3 تعديلات المخزون</w:t>
      </w:r>
    </w:p>
    <w:p>
      <w:pPr>
        <w:spacing w:after="120" w:before="0" w:line="360" w:lineRule="auto"/>
        <w:jc w:val="right"/>
        <w:bidi w:val="1"/>
      </w:pPr>
      <w:r>
        <w:rPr>
          <w:rFonts w:ascii="Calibri" w:hAnsi="Calibri" w:cs="Arial"/>
          <w:b w:val="0"/>
          <w:color w:val="1F2937"/>
          <w:sz w:val="22"/>
        </w:rPr>
        <w:t>التعديل رقم موقّع: السالب يقلّل المخزون (تالف −5)، والموجب يزيده (تصحيح +2). أسباب: تالف، إرجاع للمورد، منتهٍ، تصحيح. مرتجع الزبون مسار منفصل.</w:t>
      </w:r>
    </w:p>
    <w:p>
      <w:pPr>
        <w:spacing w:before="360" w:after="200"/>
        <w:jc w:val="right"/>
        <w:bidi w:val="1"/>
        <w:pBdr>
          <w:bottom w:val="single" w:sz="12" w:space="4" w:color="0E8088"/>
        </w:pBdr>
      </w:pPr>
      <w:r>
        <w:rPr>
          <w:rFonts w:ascii="Calibri" w:hAnsi="Calibri" w:cs="Arial"/>
          <w:b/>
          <w:color w:val="0E4D64"/>
          <w:sz w:val="32"/>
        </w:rPr>
        <w:t>5. البيع ونقطة البيع (POS)</w:t>
      </w:r>
    </w:p>
    <w:p>
      <w:pPr>
        <w:spacing w:before="240" w:after="120"/>
        <w:jc w:val="right"/>
        <w:bidi w:val="1"/>
      </w:pPr>
      <w:r>
        <w:rPr>
          <w:rFonts w:ascii="Calibri" w:hAnsi="Calibri" w:cs="Arial"/>
          <w:b/>
          <w:color w:val="0E8088"/>
          <w:sz w:val="26"/>
        </w:rPr>
        <w:t>5.1 الفاتورة</w:t>
      </w:r>
    </w:p>
    <w:p>
      <w:pPr>
        <w:spacing w:after="120" w:before="0" w:line="360" w:lineRule="auto"/>
        <w:jc w:val="right"/>
        <w:bidi w:val="1"/>
      </w:pPr>
      <w:r>
        <w:rPr>
          <w:rFonts w:ascii="Calibri" w:hAnsi="Calibri" w:cs="Arial"/>
          <w:b w:val="0"/>
          <w:color w:val="1F2937"/>
          <w:sz w:val="22"/>
        </w:rPr>
        <w:t>رأس الفاتورة: كاشير من نفس المتجر، رقم فاتورة فريد، ومجاميع (إجمالي + عمولة المتجر + مستحق الموردين) يجب أن تتطابق. الحالة مكتملة أو ملغاة.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color="D6B656"/>
              <w:left w:val="single" w:sz="4" w:color="D6B656"/>
              <w:bottom w:val="single" w:sz="4" w:color="D6B656"/>
              <w:right w:val="single" w:sz="4" w:color="D6B656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/>
                <w:color w:val="8A6D1D"/>
                <w:sz w:val="22"/>
              </w:rPr>
              <w:t>القاعدة الذهبية</w:t>
            </w:r>
          </w:p>
          <w:p>
            <w:pPr>
              <w:jc w:val="right"/>
              <w:bidi w:val="1"/>
            </w:pPr>
            <w:r>
              <w:rPr>
                <w:rFonts w:ascii="Calibri" w:hAnsi="Calibri" w:cs="Arial"/>
                <w:b w:val="0"/>
                <w:color w:val="1F2937"/>
                <w:sz w:val="20"/>
              </w:rPr>
              <w:t>كل بند بيع = مورد واحد فقط. إن خُصّصت كميات من موردين مختلفين، يُقسَّم البيع إلى بنود في نقطة البيع. قاعدة البيانات ترفض خلط مورد البند مع دفعة استلام لمورد آخر.</w:t>
            </w:r>
          </w:p>
        </w:tc>
      </w:tr>
    </w:tbl>
    <w:p/>
    <w:p>
      <w:pPr>
        <w:spacing w:before="240" w:after="120"/>
        <w:jc w:val="right"/>
        <w:bidi w:val="1"/>
      </w:pPr>
      <w:r>
        <w:rPr>
          <w:rFonts w:ascii="Calibri" w:hAnsi="Calibri" w:cs="Arial"/>
          <w:b/>
          <w:color w:val="0E8088"/>
          <w:sz w:val="26"/>
        </w:rPr>
        <w:t>5.2 ما يُجمَّد عند البيع</w:t>
      </w:r>
    </w:p>
    <w:p>
      <w:pPr>
        <w:pStyle w:val="ListBullet"/>
        <w:spacing w:after="60" w:line="360" w:lineRule="auto"/>
        <w:jc w:val="right"/>
        <w:bidi w:val="1"/>
      </w:pPr>
      <w:r>
        <w:rPr>
          <w:rFonts w:ascii="Calibri" w:hAnsi="Calibri" w:cs="Arial"/>
          <w:b w:val="0"/>
          <w:color w:val="1F2937"/>
          <w:sz w:val="22"/>
        </w:rPr>
        <w:t>السعر والكمية وإجمالي البند.</w:t>
      </w:r>
    </w:p>
    <w:p>
      <w:pPr>
        <w:pStyle w:val="ListBullet"/>
        <w:spacing w:after="60" w:line="360" w:lineRule="auto"/>
        <w:jc w:val="right"/>
        <w:bidi w:val="1"/>
      </w:pPr>
      <w:r>
        <w:rPr>
          <w:rFonts w:ascii="Calibri" w:hAnsi="Calibri" w:cs="Arial"/>
          <w:b w:val="0"/>
          <w:color w:val="1F2937"/>
          <w:sz w:val="22"/>
        </w:rPr>
        <w:t>نوع العمولة وقيمتها وأساسها (لقطة حتى لو تغيّر المنتج لاحقاً).</w:t>
      </w:r>
    </w:p>
    <w:p>
      <w:pPr>
        <w:pStyle w:val="ListBullet"/>
        <w:spacing w:after="60" w:line="360" w:lineRule="auto"/>
        <w:jc w:val="right"/>
        <w:bidi w:val="1"/>
      </w:pPr>
      <w:r>
        <w:rPr>
          <w:rFonts w:ascii="Calibri" w:hAnsi="Calibri" w:cs="Arial"/>
          <w:b w:val="0"/>
          <w:color w:val="1F2937"/>
          <w:sz w:val="22"/>
        </w:rPr>
        <w:t>حصة المتجر وحصة المورد — مجموعهما يساوي إجمالي البند.</w:t>
      </w:r>
    </w:p>
    <w:p>
      <w:pPr>
        <w:pStyle w:val="ListBullet"/>
        <w:spacing w:after="60" w:line="360" w:lineRule="auto"/>
        <w:jc w:val="right"/>
        <w:bidi w:val="1"/>
      </w:pPr>
      <w:r>
        <w:rPr>
          <w:rFonts w:ascii="Calibri" w:hAnsi="Calibri" w:cs="Arial"/>
          <w:b w:val="0"/>
          <w:color w:val="1F2937"/>
          <w:sz w:val="22"/>
        </w:rPr>
        <w:t>حالة التسوية: غير مسوّى أو مسوّى.</w:t>
      </w:r>
    </w:p>
    <w:p>
      <w:pPr>
        <w:spacing w:before="240" w:after="120"/>
        <w:jc w:val="right"/>
        <w:bidi w:val="1"/>
      </w:pPr>
      <w:r>
        <w:rPr>
          <w:rFonts w:ascii="Calibri" w:hAnsi="Calibri" w:cs="Arial"/>
          <w:b/>
          <w:color w:val="0E8088"/>
          <w:sz w:val="26"/>
        </w:rPr>
        <w:t>5.3 مثال حساب عمولة نسبة</w:t>
      </w:r>
    </w:p>
    <w:p>
      <w:pPr>
        <w:pStyle w:val="ListNumber"/>
        <w:spacing w:after="60" w:line="360" w:lineRule="auto"/>
        <w:jc w:val="right"/>
        <w:bidi w:val="1"/>
      </w:pPr>
      <w:r>
        <w:rPr>
          <w:rFonts w:ascii="Calibri" w:hAnsi="Calibri" w:cs="Arial"/>
          <w:b w:val="0"/>
          <w:color w:val="1F2937"/>
          <w:sz w:val="22"/>
        </w:rPr>
        <w:t>إجمالي البند = السعر × الكمية</w:t>
      </w:r>
    </w:p>
    <w:p>
      <w:pPr>
        <w:pStyle w:val="ListNumber"/>
        <w:spacing w:after="60" w:line="360" w:lineRule="auto"/>
        <w:jc w:val="right"/>
        <w:bidi w:val="1"/>
      </w:pPr>
      <w:r>
        <w:rPr>
          <w:rFonts w:ascii="Calibri" w:hAnsi="Calibri" w:cs="Arial"/>
          <w:b w:val="0"/>
          <w:color w:val="1F2937"/>
          <w:sz w:val="22"/>
        </w:rPr>
        <w:t>حصة المتجر = الإجمالي × (النسبة ÷ 100)</w:t>
      </w:r>
    </w:p>
    <w:p>
      <w:pPr>
        <w:pStyle w:val="ListNumber"/>
        <w:spacing w:after="60" w:line="360" w:lineRule="auto"/>
        <w:jc w:val="right"/>
        <w:bidi w:val="1"/>
      </w:pPr>
      <w:r>
        <w:rPr>
          <w:rFonts w:ascii="Calibri" w:hAnsi="Calibri" w:cs="Arial"/>
          <w:b w:val="0"/>
          <w:color w:val="1F2937"/>
          <w:sz w:val="22"/>
        </w:rPr>
        <w:t>حصة المورد = الإجمالي − حصة المتجر</w:t>
      </w:r>
    </w:p>
    <w:p>
      <w:pPr>
        <w:spacing w:after="120" w:before="0" w:line="360" w:lineRule="auto"/>
        <w:jc w:val="right"/>
        <w:bidi w:val="1"/>
      </w:pPr>
      <w:r>
        <w:rPr>
          <w:rFonts w:ascii="Calibri" w:hAnsi="Calibri" w:cs="Arial"/>
          <w:b w:val="0"/>
          <w:color w:val="4B5563"/>
          <w:sz w:val="20"/>
        </w:rPr>
        <w:t>للعمولة الثابتة: إما قيمة × الكمية (لكل وحدة) أو قيمة واحدة للبند. التقريب في التطبيق يجب أن يكون موحّداً دائماً.</w:t>
      </w:r>
    </w:p>
    <w:p>
      <w:pPr>
        <w:spacing w:before="240" w:after="120"/>
        <w:jc w:val="right"/>
        <w:bidi w:val="1"/>
      </w:pPr>
      <w:r>
        <w:rPr>
          <w:rFonts w:ascii="Calibri" w:hAnsi="Calibri" w:cs="Arial"/>
          <w:b/>
          <w:color w:val="0E8088"/>
          <w:sz w:val="26"/>
        </w:rPr>
        <w:t>5.4 خطوات معاملة البيع (في التطبيق)</w:t>
      </w:r>
    </w:p>
    <w:p>
      <w:pPr>
        <w:pStyle w:val="ListNumber"/>
        <w:spacing w:after="60" w:line="360" w:lineRule="auto"/>
        <w:jc w:val="right"/>
        <w:bidi w:val="1"/>
      </w:pPr>
      <w:r>
        <w:rPr>
          <w:rFonts w:ascii="Calibri" w:hAnsi="Calibri" w:cs="Arial"/>
          <w:b w:val="0"/>
          <w:color w:val="1F2937"/>
          <w:sz w:val="22"/>
        </w:rPr>
        <w:t>قفل الدفعات المختارة داخل معاملة قاعدة بيانات.</w:t>
      </w:r>
    </w:p>
    <w:p>
      <w:pPr>
        <w:pStyle w:val="ListNumber"/>
        <w:spacing w:after="60" w:line="360" w:lineRule="auto"/>
        <w:jc w:val="right"/>
        <w:bidi w:val="1"/>
      </w:pPr>
      <w:r>
        <w:rPr>
          <w:rFonts w:ascii="Calibri" w:hAnsi="Calibri" w:cs="Arial"/>
          <w:b w:val="0"/>
          <w:color w:val="1F2937"/>
          <w:sz w:val="22"/>
        </w:rPr>
        <w:t>التحقق من كفاية الكمية المتبقية.</w:t>
      </w:r>
    </w:p>
    <w:p>
      <w:pPr>
        <w:pStyle w:val="ListNumber"/>
        <w:spacing w:after="60" w:line="360" w:lineRule="auto"/>
        <w:jc w:val="right"/>
        <w:bidi w:val="1"/>
      </w:pPr>
      <w:r>
        <w:rPr>
          <w:rFonts w:ascii="Calibri" w:hAnsi="Calibri" w:cs="Arial"/>
          <w:b w:val="0"/>
          <w:color w:val="1F2937"/>
          <w:sz w:val="22"/>
        </w:rPr>
        <w:t>إنشاء الفاتورة والبنود وتخصيصات الدفعات.</w:t>
      </w:r>
    </w:p>
    <w:p>
      <w:pPr>
        <w:pStyle w:val="ListNumber"/>
        <w:spacing w:after="60" w:line="360" w:lineRule="auto"/>
        <w:jc w:val="right"/>
        <w:bidi w:val="1"/>
      </w:pPr>
      <w:r>
        <w:rPr>
          <w:rFonts w:ascii="Calibri" w:hAnsi="Calibri" w:cs="Arial"/>
          <w:b w:val="0"/>
          <w:color w:val="1F2937"/>
          <w:sz w:val="22"/>
        </w:rPr>
        <w:t>إنقاص الكمية المتبقية.</w:t>
      </w:r>
    </w:p>
    <w:p>
      <w:pPr>
        <w:pStyle w:val="ListNumber"/>
        <w:spacing w:after="60" w:line="360" w:lineRule="auto"/>
        <w:jc w:val="right"/>
        <w:bidi w:val="1"/>
      </w:pPr>
      <w:r>
        <w:rPr>
          <w:rFonts w:ascii="Calibri" w:hAnsi="Calibri" w:cs="Arial"/>
          <w:b w:val="0"/>
          <w:color w:val="1F2937"/>
          <w:sz w:val="22"/>
        </w:rPr>
        <w:t>قيد دفتر (مستحق موجب) لكل مورد شارك في الفاتورة.</w:t>
      </w:r>
    </w:p>
    <w:p>
      <w:pPr>
        <w:pStyle w:val="ListNumber"/>
        <w:spacing w:after="60" w:line="360" w:lineRule="auto"/>
        <w:jc w:val="right"/>
        <w:bidi w:val="1"/>
      </w:pPr>
      <w:r>
        <w:rPr>
          <w:rFonts w:ascii="Calibri" w:hAnsi="Calibri" w:cs="Arial"/>
          <w:b w:val="0"/>
          <w:color w:val="1F2937"/>
          <w:sz w:val="22"/>
        </w:rPr>
        <w:t>تسجيل تدقيق عند الحاجة.</w:t>
      </w:r>
    </w:p>
    <w:p>
      <w:pPr>
        <w:spacing w:before="240" w:after="120"/>
        <w:jc w:val="right"/>
        <w:bidi w:val="1"/>
      </w:pPr>
      <w:r>
        <w:rPr>
          <w:rFonts w:ascii="Calibri" w:hAnsi="Calibri" w:cs="Arial"/>
          <w:b/>
          <w:color w:val="0E8088"/>
          <w:sz w:val="26"/>
        </w:rPr>
        <w:t>5.5 إلغاء الفاتورة</w:t>
      </w:r>
    </w:p>
    <w:p>
      <w:pPr>
        <w:spacing w:after="120" w:before="0" w:line="360" w:lineRule="auto"/>
        <w:jc w:val="right"/>
        <w:bidi w:val="1"/>
      </w:pPr>
      <w:r>
        <w:rPr>
          <w:rFonts w:ascii="Calibri" w:hAnsi="Calibri" w:cs="Arial"/>
          <w:b w:val="0"/>
          <w:color w:val="1F2937"/>
          <w:sz w:val="22"/>
        </w:rPr>
        <w:t>إعادة الكميات، وقيود عكسية في الدفتر، وتعيين الحالة ملغاة. لا تُنشأ تسويات جديدة من فواتير ملغاة.</w:t>
      </w:r>
    </w:p>
    <w:p>
      <w:pPr>
        <w:spacing w:before="360" w:after="200"/>
        <w:jc w:val="right"/>
        <w:bidi w:val="1"/>
        <w:pBdr>
          <w:bottom w:val="single" w:sz="12" w:space="4" w:color="0E8088"/>
        </w:pBdr>
      </w:pPr>
      <w:r>
        <w:rPr>
          <w:rFonts w:ascii="Calibri" w:hAnsi="Calibri" w:cs="Arial"/>
          <w:b/>
          <w:color w:val="0E4D64"/>
          <w:sz w:val="32"/>
        </w:rPr>
        <w:t>6. مرتجعات الزبون</w:t>
      </w:r>
    </w:p>
    <w:p>
      <w:pPr>
        <w:spacing w:after="120" w:before="0" w:line="360" w:lineRule="auto"/>
        <w:jc w:val="right"/>
        <w:bidi w:val="1"/>
      </w:pPr>
      <w:r>
        <w:rPr>
          <w:rFonts w:ascii="Calibri" w:hAnsi="Calibri" w:cs="Arial"/>
          <w:b w:val="0"/>
          <w:color w:val="1F2937"/>
          <w:sz w:val="22"/>
        </w:rPr>
        <w:t>مسار مستقل عن «إرجاع البضاعة للمورد». المرتجع يرتبط بالفاتورة الأصلية ويعيد الكمية إلى نفس دفعات البيع (جزئياً أو كلياً)، مع قيد عكسي في دفتر المورد ينقص المستحق.</w:t>
      </w:r>
    </w:p>
    <w:p>
      <w:pPr>
        <w:pStyle w:val="ListNumber"/>
        <w:spacing w:after="60" w:line="360" w:lineRule="auto"/>
        <w:jc w:val="right"/>
        <w:bidi w:val="1"/>
      </w:pPr>
      <w:r>
        <w:rPr>
          <w:rFonts w:ascii="Calibri" w:hAnsi="Calibri" w:cs="Arial"/>
          <w:b w:val="0"/>
          <w:color w:val="1F2937"/>
          <w:sz w:val="22"/>
        </w:rPr>
        <w:t>إنشاء مرتجع على فاتورة.</w:t>
      </w:r>
    </w:p>
    <w:p>
      <w:pPr>
        <w:pStyle w:val="ListNumber"/>
        <w:spacing w:after="60" w:line="360" w:lineRule="auto"/>
        <w:jc w:val="right"/>
        <w:bidi w:val="1"/>
      </w:pPr>
      <w:r>
        <w:rPr>
          <w:rFonts w:ascii="Calibri" w:hAnsi="Calibri" w:cs="Arial"/>
          <w:b w:val="0"/>
          <w:color w:val="1F2937"/>
          <w:sz w:val="22"/>
        </w:rPr>
        <w:t>تحديد البنود والكميات والمبالغ المعادة.</w:t>
      </w:r>
    </w:p>
    <w:p>
      <w:pPr>
        <w:pStyle w:val="ListNumber"/>
        <w:spacing w:after="60" w:line="360" w:lineRule="auto"/>
        <w:jc w:val="right"/>
        <w:bidi w:val="1"/>
      </w:pPr>
      <w:r>
        <w:rPr>
          <w:rFonts w:ascii="Calibri" w:hAnsi="Calibri" w:cs="Arial"/>
          <w:b w:val="0"/>
          <w:color w:val="1F2937"/>
          <w:sz w:val="22"/>
        </w:rPr>
        <w:t>توزيع الكمية على نفس دفعات التخصيص الأصلية.</w:t>
      </w:r>
    </w:p>
    <w:p>
      <w:pPr>
        <w:spacing w:before="360" w:after="200"/>
        <w:jc w:val="right"/>
        <w:bidi w:val="1"/>
        <w:pBdr>
          <w:bottom w:val="single" w:sz="12" w:space="4" w:color="0E8088"/>
        </w:pBdr>
      </w:pPr>
      <w:r>
        <w:rPr>
          <w:rFonts w:ascii="Calibri" w:hAnsi="Calibri" w:cs="Arial"/>
          <w:b/>
          <w:color w:val="0E4D64"/>
          <w:sz w:val="32"/>
        </w:rPr>
        <w:t>7. تسوية الموردين</w:t>
      </w:r>
    </w:p>
    <w:p>
      <w:pPr>
        <w:spacing w:after="120" w:before="0" w:line="360" w:lineRule="auto"/>
        <w:jc w:val="right"/>
        <w:bidi w:val="1"/>
      </w:pPr>
      <w:r>
        <w:rPr>
          <w:rFonts w:ascii="Calibri" w:hAnsi="Calibri" w:cs="Arial"/>
          <w:b w:val="0"/>
          <w:color w:val="1F2937"/>
          <w:sz w:val="22"/>
        </w:rPr>
        <w:t>التسوية تجمع بنود البيع غير المسوّاة لمورد واحد، ثم تطرح الخصومات (سلف، تالف، شحن…) لتصل إلى صافي يُدفع.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0E8088" w:val="clear"/>
            <w:tcBorders>
              <w:top w:val="single" w:sz="4" w:color="0E8088"/>
              <w:left w:val="single" w:sz="4" w:color="0E8088"/>
              <w:bottom w:val="single" w:sz="4" w:color="0E8088"/>
              <w:right w:val="single" w:sz="4" w:color="0E8088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/>
                <w:color w:val="FFFFFF"/>
                <w:sz w:val="20"/>
              </w:rPr>
              <w:t>الحقل / الحالة</w:t>
            </w:r>
          </w:p>
        </w:tc>
        <w:tc>
          <w:tcPr>
            <w:tcW w:type="dxa" w:w="4819"/>
            <w:shd w:fill="0E8088" w:val="clear"/>
            <w:tcBorders>
              <w:top w:val="single" w:sz="4" w:color="0E8088"/>
              <w:left w:val="single" w:sz="4" w:color="0E8088"/>
              <w:bottom w:val="single" w:sz="4" w:color="0E8088"/>
              <w:right w:val="single" w:sz="4" w:color="0E8088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/>
                <w:color w:val="FFFFFF"/>
                <w:sz w:val="20"/>
              </w:rPr>
              <w:t>المعنى</w:t>
            </w:r>
          </w:p>
        </w:tc>
      </w:tr>
      <w:tr>
        <w:tc>
          <w:tcPr>
            <w:tcW w:type="dxa" w:w="4819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إجمالي (gross)</w:t>
            </w:r>
          </w:p>
        </w:tc>
        <w:tc>
          <w:tcPr>
            <w:tcW w:type="dxa" w:w="4819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مجموع حصص المورد من البنود المختارة</w:t>
            </w:r>
          </w:p>
        </w:tc>
      </w:tr>
      <w:tr>
        <w:tc>
          <w:tcPr>
            <w:tcW w:type="dxa" w:w="4819"/>
            <w:shd w:fill="E8F6F7" w:val="clear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خصومات (deductions)</w:t>
            </w:r>
          </w:p>
        </w:tc>
        <w:tc>
          <w:tcPr>
            <w:tcW w:type="dxa" w:w="4819"/>
            <w:shd w:fill="E8F6F7" w:val="clear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ما يُطرح من الإجمالي في هذه التسوية</w:t>
            </w:r>
          </w:p>
        </w:tc>
      </w:tr>
      <w:tr>
        <w:tc>
          <w:tcPr>
            <w:tcW w:type="dxa" w:w="4819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صافي (net)</w:t>
            </w:r>
          </w:p>
        </w:tc>
        <w:tc>
          <w:tcPr>
            <w:tcW w:type="dxa" w:w="4819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الإجمالي − الخصومات — يُدفع للمورد</w:t>
            </w:r>
          </w:p>
        </w:tc>
      </w:tr>
      <w:tr>
        <w:tc>
          <w:tcPr>
            <w:tcW w:type="dxa" w:w="4819"/>
            <w:shd w:fill="E8F6F7" w:val="clear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مسودة → مدفوعة</w:t>
            </w:r>
          </w:p>
        </w:tc>
        <w:tc>
          <w:tcPr>
            <w:tcW w:type="dxa" w:w="4819"/>
            <w:shd w:fill="E8F6F7" w:val="clear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عند الدفع يُسجَّل تاريخ الدفع وقيد في الدفتر</w:t>
            </w:r>
          </w:p>
        </w:tc>
      </w:tr>
      <w:tr>
        <w:tc>
          <w:tcPr>
            <w:tcW w:type="dxa" w:w="4819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إلغاء التسوية</w:t>
            </w:r>
          </w:p>
        </w:tc>
        <w:tc>
          <w:tcPr>
            <w:tcW w:type="dxa" w:w="4819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حذف بنودها وإعادة البنود لغير مسوّى — دون حذف تسوية مدفوعة فعلياً</w:t>
            </w:r>
          </w:p>
        </w:tc>
      </w:tr>
    </w:tbl>
    <w:p/>
    <w:p>
      <w:pPr>
        <w:spacing w:after="120" w:before="0" w:line="360" w:lineRule="auto"/>
        <w:jc w:val="right"/>
        <w:bidi w:val="1"/>
      </w:pPr>
      <w:r>
        <w:rPr>
          <w:rFonts w:ascii="Calibri" w:hAnsi="Calibri" w:cs="Arial"/>
          <w:b w:val="0"/>
          <w:color w:val="4B5563"/>
          <w:sz w:val="20"/>
        </w:rPr>
        <w:t>كل بند بيع يُسوّى مرة واحدة فقط (قيد فريد). الفواتير والبنود المالية لا تُحذف فيزيائياً بل تُلغى محاسبياً.</w:t>
      </w:r>
    </w:p>
    <w:p>
      <w:pPr>
        <w:spacing w:before="360" w:after="200"/>
        <w:jc w:val="right"/>
        <w:bidi w:val="1"/>
        <w:pBdr>
          <w:bottom w:val="single" w:sz="12" w:space="4" w:color="0E8088"/>
        </w:pBdr>
      </w:pPr>
      <w:r>
        <w:rPr>
          <w:rFonts w:ascii="Calibri" w:hAnsi="Calibri" w:cs="Arial"/>
          <w:b/>
          <w:color w:val="0E4D64"/>
          <w:sz w:val="32"/>
        </w:rPr>
        <w:t>8. دفتر المورد والرصيد</w:t>
      </w:r>
    </w:p>
    <w:p>
      <w:pPr>
        <w:spacing w:after="120" w:before="0" w:line="360" w:lineRule="auto"/>
        <w:jc w:val="right"/>
        <w:bidi w:val="1"/>
      </w:pPr>
      <w:r>
        <w:rPr>
          <w:rFonts w:ascii="Calibri" w:hAnsi="Calibri" w:cs="Arial"/>
          <w:b w:val="0"/>
          <w:color w:val="1F2937"/>
          <w:sz w:val="22"/>
        </w:rPr>
        <w:t>الدفتر إضافي فقط (append-only): لا تعديل ولا حذف للقيود؛ الخطأ يُصحَّح بقيد عكسي. الرصيد = مجموع المبالغ لكل مورد داخل المتجر.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0E8088" w:val="clear"/>
            <w:tcBorders>
              <w:top w:val="single" w:sz="4" w:color="0E8088"/>
              <w:left w:val="single" w:sz="4" w:color="0E8088"/>
              <w:bottom w:val="single" w:sz="4" w:color="0E8088"/>
              <w:right w:val="single" w:sz="4" w:color="0E8088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/>
                <w:color w:val="FFFFFF"/>
                <w:sz w:val="20"/>
              </w:rPr>
              <w:t>نوع القيد</w:t>
            </w:r>
          </w:p>
        </w:tc>
        <w:tc>
          <w:tcPr>
            <w:tcW w:type="dxa" w:w="3213"/>
            <w:shd w:fill="0E8088" w:val="clear"/>
            <w:tcBorders>
              <w:top w:val="single" w:sz="4" w:color="0E8088"/>
              <w:left w:val="single" w:sz="4" w:color="0E8088"/>
              <w:bottom w:val="single" w:sz="4" w:color="0E8088"/>
              <w:right w:val="single" w:sz="4" w:color="0E8088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/>
                <w:color w:val="FFFFFF"/>
                <w:sz w:val="20"/>
              </w:rPr>
              <w:t>الإشارة</w:t>
            </w:r>
          </w:p>
        </w:tc>
        <w:tc>
          <w:tcPr>
            <w:tcW w:type="dxa" w:w="3213"/>
            <w:shd w:fill="0E8088" w:val="clear"/>
            <w:tcBorders>
              <w:top w:val="single" w:sz="4" w:color="0E8088"/>
              <w:left w:val="single" w:sz="4" w:color="0E8088"/>
              <w:bottom w:val="single" w:sz="4" w:color="0E8088"/>
              <w:right w:val="single" w:sz="4" w:color="0E8088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/>
                <w:color w:val="FFFFFF"/>
                <w:sz w:val="20"/>
              </w:rPr>
              <w:t>المعنى</w:t>
            </w:r>
          </w:p>
        </w:tc>
      </w:tr>
      <w:tr>
        <w:tc>
          <w:tcPr>
            <w:tcW w:type="dxa" w:w="3213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مستحق بيع (sale_credit)</w:t>
            </w:r>
          </w:p>
        </w:tc>
        <w:tc>
          <w:tcPr>
            <w:tcW w:type="dxa" w:w="3213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موجب (+)</w:t>
            </w:r>
          </w:p>
        </w:tc>
        <w:tc>
          <w:tcPr>
            <w:tcW w:type="dxa" w:w="3213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زاد ما للمتجر عند المورد بعد بيع</w:t>
            </w:r>
          </w:p>
        </w:tc>
      </w:tr>
      <w:tr>
        <w:tc>
          <w:tcPr>
            <w:tcW w:type="dxa" w:w="3213"/>
            <w:shd w:fill="E8F6F7" w:val="clear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خصم تسوية (settlement_debit)</w:t>
            </w:r>
          </w:p>
        </w:tc>
        <w:tc>
          <w:tcPr>
            <w:tcW w:type="dxa" w:w="3213"/>
            <w:shd w:fill="E8F6F7" w:val="clear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سالب (−)</w:t>
            </w:r>
          </w:p>
        </w:tc>
        <w:tc>
          <w:tcPr>
            <w:tcW w:type="dxa" w:w="3213"/>
            <w:shd w:fill="E8F6F7" w:val="clear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دُفع للمورد / خُصم من الرصيد</w:t>
            </w:r>
          </w:p>
        </w:tc>
      </w:tr>
      <w:tr>
        <w:tc>
          <w:tcPr>
            <w:tcW w:type="dxa" w:w="3213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سلفة / خصم / تالف / شحن / مرتجع</w:t>
            </w:r>
          </w:p>
        </w:tc>
        <w:tc>
          <w:tcPr>
            <w:tcW w:type="dxa" w:w="3213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سالب (−)</w:t>
            </w:r>
          </w:p>
        </w:tc>
        <w:tc>
          <w:tcPr>
            <w:tcW w:type="dxa" w:w="3213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تخفيضات على المستحق</w:t>
            </w:r>
          </w:p>
        </w:tc>
      </w:tr>
      <w:tr>
        <w:tc>
          <w:tcPr>
            <w:tcW w:type="dxa" w:w="3213"/>
            <w:shd w:fill="E8F6F7" w:val="clear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تعديل يدوي</w:t>
            </w:r>
          </w:p>
        </w:tc>
        <w:tc>
          <w:tcPr>
            <w:tcW w:type="dxa" w:w="3213"/>
            <w:shd w:fill="E8F6F7" w:val="clear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أي إشارة ≠ صفر</w:t>
            </w:r>
          </w:p>
        </w:tc>
        <w:tc>
          <w:tcPr>
            <w:tcW w:type="dxa" w:w="3213"/>
            <w:shd w:fill="E8F6F7" w:val="clear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تصحيح موثّق</w:t>
            </w:r>
          </w:p>
        </w:tc>
      </w:tr>
    </w:tbl>
    <w:p/>
    <w:p>
      <w:pPr>
        <w:spacing w:after="120" w:before="0" w:line="360" w:lineRule="auto"/>
        <w:jc w:val="right"/>
        <w:bidi w:val="1"/>
      </w:pPr>
      <w:r>
        <w:rPr>
          <w:rFonts w:ascii="Calibri" w:hAnsi="Calibri" w:cs="Arial"/>
          <w:b w:val="0"/>
          <w:color w:val="1F2937"/>
          <w:sz w:val="22"/>
        </w:rPr>
        <w:t>رصيد موجب يعني تقريباً أن المتجر ما زال مديناً للمورد بهذا المبلغ (حسب اصطلاح الإشارة أعلاه).</w:t>
      </w:r>
    </w:p>
    <w:p>
      <w:pPr>
        <w:spacing w:before="360" w:after="200"/>
        <w:jc w:val="right"/>
        <w:bidi w:val="1"/>
        <w:pBdr>
          <w:bottom w:val="single" w:sz="12" w:space="4" w:color="0E8088"/>
        </w:pBdr>
      </w:pPr>
      <w:r>
        <w:rPr>
          <w:rFonts w:ascii="Calibri" w:hAnsi="Calibri" w:cs="Arial"/>
          <w:b/>
          <w:color w:val="0E4D64"/>
          <w:sz w:val="32"/>
        </w:rPr>
        <w:t>9. التدقيق وأرقام الفواتير</w:t>
      </w:r>
    </w:p>
    <w:p>
      <w:pPr>
        <w:pStyle w:val="ListBullet"/>
        <w:spacing w:after="60" w:line="360" w:lineRule="auto"/>
        <w:jc w:val="right"/>
        <w:bidi w:val="1"/>
      </w:pPr>
      <w:r>
        <w:rPr>
          <w:rFonts w:ascii="Calibri" w:hAnsi="Calibri" w:cs="Arial"/>
          <w:b w:val="0"/>
          <w:color w:val="1F2937"/>
          <w:sz w:val="22"/>
        </w:rPr>
        <w:t>عدّاد آمن لكل متجر لتوليد أرقام الفواتير دون تعارض.</w:t>
      </w:r>
    </w:p>
    <w:p>
      <w:pPr>
        <w:pStyle w:val="ListBullet"/>
        <w:spacing w:after="60" w:line="360" w:lineRule="auto"/>
        <w:jc w:val="right"/>
        <w:bidi w:val="1"/>
      </w:pPr>
      <w:r>
        <w:rPr>
          <w:rFonts w:ascii="Calibri" w:hAnsi="Calibri" w:cs="Arial"/>
          <w:b w:val="0"/>
          <w:color w:val="1F2937"/>
          <w:sz w:val="22"/>
        </w:rPr>
        <w:t>سجل تدقيق: من فعل ماذا، على أي كيان، مع بيانات قديمة/جديدة وعنوان IP ومعرّف الطلب.</w:t>
      </w:r>
    </w:p>
    <w:p>
      <w:pPr>
        <w:spacing w:before="360" w:after="200"/>
        <w:jc w:val="right"/>
        <w:bidi w:val="1"/>
        <w:pBdr>
          <w:bottom w:val="single" w:sz="12" w:space="4" w:color="0E8088"/>
        </w:pBdr>
      </w:pPr>
      <w:r>
        <w:rPr>
          <w:rFonts w:ascii="Calibri" w:hAnsi="Calibri" w:cs="Arial"/>
          <w:b/>
          <w:color w:val="0E4D64"/>
          <w:sz w:val="32"/>
        </w:rPr>
        <w:t>10. ماذا يفعل كل مستخدم؟</w:t>
      </w:r>
    </w:p>
    <w:p>
      <w:pPr>
        <w:spacing w:before="240" w:after="120"/>
        <w:jc w:val="right"/>
        <w:bidi w:val="1"/>
      </w:pPr>
      <w:r>
        <w:rPr>
          <w:rFonts w:ascii="Calibri" w:hAnsi="Calibri" w:cs="Arial"/>
          <w:b/>
          <w:color w:val="0E8088"/>
          <w:sz w:val="26"/>
        </w:rPr>
        <w:t>أ) مدير المتجر</w:t>
      </w:r>
    </w:p>
    <w:p>
      <w:pPr>
        <w:pStyle w:val="ListNumber"/>
        <w:spacing w:after="60" w:line="360" w:lineRule="auto"/>
        <w:jc w:val="right"/>
        <w:bidi w:val="1"/>
      </w:pPr>
      <w:r>
        <w:rPr>
          <w:rFonts w:ascii="Calibri" w:hAnsi="Calibri" w:cs="Arial"/>
          <w:b w:val="0"/>
          <w:color w:val="1F2937"/>
          <w:sz w:val="22"/>
        </w:rPr>
        <w:t>إعداد التصنيفات والمنتجات والعمولات والوحدات والموردين.</w:t>
      </w:r>
    </w:p>
    <w:p>
      <w:pPr>
        <w:pStyle w:val="ListNumber"/>
        <w:spacing w:after="60" w:line="360" w:lineRule="auto"/>
        <w:jc w:val="right"/>
        <w:bidi w:val="1"/>
      </w:pPr>
      <w:r>
        <w:rPr>
          <w:rFonts w:ascii="Calibri" w:hAnsi="Calibri" w:cs="Arial"/>
          <w:b w:val="0"/>
          <w:color w:val="1F2937"/>
          <w:sz w:val="22"/>
        </w:rPr>
        <w:t>استلام بضاعة المزارعين (دفعات مخزون).</w:t>
      </w:r>
    </w:p>
    <w:p>
      <w:pPr>
        <w:pStyle w:val="ListNumber"/>
        <w:spacing w:after="60" w:line="360" w:lineRule="auto"/>
        <w:jc w:val="right"/>
        <w:bidi w:val="1"/>
      </w:pPr>
      <w:r>
        <w:rPr>
          <w:rFonts w:ascii="Calibri" w:hAnsi="Calibri" w:cs="Arial"/>
          <w:b w:val="0"/>
          <w:color w:val="1F2937"/>
          <w:sz w:val="22"/>
        </w:rPr>
        <w:t>مراجعة كشف المورد والرصيد.</w:t>
      </w:r>
    </w:p>
    <w:p>
      <w:pPr>
        <w:pStyle w:val="ListNumber"/>
        <w:spacing w:after="60" w:line="360" w:lineRule="auto"/>
        <w:jc w:val="right"/>
        <w:bidi w:val="1"/>
      </w:pPr>
      <w:r>
        <w:rPr>
          <w:rFonts w:ascii="Calibri" w:hAnsi="Calibri" w:cs="Arial"/>
          <w:b w:val="0"/>
          <w:color w:val="1F2937"/>
          <w:sz w:val="22"/>
        </w:rPr>
        <w:t>إنشاء التسويات وتطبيق الخصومات وتسجيل الدفع.</w:t>
      </w:r>
    </w:p>
    <w:p>
      <w:pPr>
        <w:pStyle w:val="ListNumber"/>
        <w:spacing w:after="60" w:line="360" w:lineRule="auto"/>
        <w:jc w:val="right"/>
        <w:bidi w:val="1"/>
      </w:pPr>
      <w:r>
        <w:rPr>
          <w:rFonts w:ascii="Calibri" w:hAnsi="Calibri" w:cs="Arial"/>
          <w:b w:val="0"/>
          <w:color w:val="1F2937"/>
          <w:sz w:val="22"/>
        </w:rPr>
        <w:t>تعديل المخزون (تالف / إرجاع للمورد) ومراجعة التدقيق.</w:t>
      </w:r>
    </w:p>
    <w:p>
      <w:pPr>
        <w:spacing w:before="240" w:after="120"/>
        <w:jc w:val="right"/>
        <w:bidi w:val="1"/>
      </w:pPr>
      <w:r>
        <w:rPr>
          <w:rFonts w:ascii="Calibri" w:hAnsi="Calibri" w:cs="Arial"/>
          <w:b/>
          <w:color w:val="0E8088"/>
          <w:sz w:val="26"/>
        </w:rPr>
        <w:t>ب) الكاشير</w:t>
      </w:r>
    </w:p>
    <w:p>
      <w:pPr>
        <w:pStyle w:val="ListNumber"/>
        <w:spacing w:after="60" w:line="360" w:lineRule="auto"/>
        <w:jc w:val="right"/>
        <w:bidi w:val="1"/>
      </w:pPr>
      <w:r>
        <w:rPr>
          <w:rFonts w:ascii="Calibri" w:hAnsi="Calibri" w:cs="Arial"/>
          <w:b w:val="0"/>
          <w:color w:val="1F2937"/>
          <w:sz w:val="22"/>
        </w:rPr>
        <w:t>اختيار منتجات الزبون.</w:t>
      </w:r>
    </w:p>
    <w:p>
      <w:pPr>
        <w:pStyle w:val="ListNumber"/>
        <w:spacing w:after="60" w:line="360" w:lineRule="auto"/>
        <w:jc w:val="right"/>
        <w:bidi w:val="1"/>
      </w:pPr>
      <w:r>
        <w:rPr>
          <w:rFonts w:ascii="Calibri" w:hAnsi="Calibri" w:cs="Arial"/>
          <w:b w:val="0"/>
          <w:color w:val="1F2937"/>
          <w:sz w:val="22"/>
        </w:rPr>
        <w:t>اختيار الدفعة/المورد المتاح.</w:t>
      </w:r>
    </w:p>
    <w:p>
      <w:pPr>
        <w:pStyle w:val="ListNumber"/>
        <w:spacing w:after="60" w:line="360" w:lineRule="auto"/>
        <w:jc w:val="right"/>
        <w:bidi w:val="1"/>
      </w:pPr>
      <w:r>
        <w:rPr>
          <w:rFonts w:ascii="Calibri" w:hAnsi="Calibri" w:cs="Arial"/>
          <w:b w:val="0"/>
          <w:color w:val="1F2937"/>
          <w:sz w:val="22"/>
        </w:rPr>
        <w:t>إتمام البيع → فاتورة + عمولة مجمّدة + خصم كمية.</w:t>
      </w:r>
    </w:p>
    <w:p>
      <w:pPr>
        <w:pStyle w:val="ListNumber"/>
        <w:spacing w:after="60" w:line="360" w:lineRule="auto"/>
        <w:jc w:val="right"/>
        <w:bidi w:val="1"/>
      </w:pPr>
      <w:r>
        <w:rPr>
          <w:rFonts w:ascii="Calibri" w:hAnsi="Calibri" w:cs="Arial"/>
          <w:b w:val="0"/>
          <w:color w:val="1F2937"/>
          <w:sz w:val="22"/>
        </w:rPr>
        <w:t>تسجيل مرتجع زبون عند الحاجة.</w:t>
      </w:r>
    </w:p>
    <w:p>
      <w:pPr>
        <w:spacing w:before="240" w:after="120"/>
        <w:jc w:val="right"/>
        <w:bidi w:val="1"/>
      </w:pPr>
      <w:r>
        <w:rPr>
          <w:rFonts w:ascii="Calibri" w:hAnsi="Calibri" w:cs="Arial"/>
          <w:b/>
          <w:color w:val="0E8088"/>
          <w:sz w:val="26"/>
        </w:rPr>
        <w:t>ج) المورد (اختياري)</w:t>
      </w:r>
    </w:p>
    <w:p>
      <w:pPr>
        <w:spacing w:after="120" w:before="0" w:line="360" w:lineRule="auto"/>
        <w:jc w:val="right"/>
        <w:bidi w:val="1"/>
      </w:pPr>
      <w:r>
        <w:rPr>
          <w:rFonts w:ascii="Calibri" w:hAnsi="Calibri" w:cs="Arial"/>
          <w:b w:val="0"/>
          <w:color w:val="1F2937"/>
          <w:sz w:val="22"/>
        </w:rPr>
        <w:t>إن وُجد حساب: عرض مستحقاته ومبيعاته دون صلاحيات إدارة المتجر.</w:t>
      </w:r>
    </w:p>
    <w:p>
      <w:pPr>
        <w:spacing w:before="240" w:after="120"/>
        <w:jc w:val="right"/>
        <w:bidi w:val="1"/>
      </w:pPr>
      <w:r>
        <w:rPr>
          <w:rFonts w:ascii="Calibri" w:hAnsi="Calibri" w:cs="Arial"/>
          <w:b/>
          <w:color w:val="0E8088"/>
          <w:sz w:val="26"/>
        </w:rPr>
        <w:t>د) مدير المنصة</w:t>
      </w:r>
    </w:p>
    <w:p>
      <w:pPr>
        <w:spacing w:after="120" w:before="0" w:line="360" w:lineRule="auto"/>
        <w:jc w:val="right"/>
        <w:bidi w:val="1"/>
      </w:pPr>
      <w:r>
        <w:rPr>
          <w:rFonts w:ascii="Calibri" w:hAnsi="Calibri" w:cs="Arial"/>
          <w:b w:val="0"/>
          <w:color w:val="1F2937"/>
          <w:sz w:val="22"/>
        </w:rPr>
        <w:t>إدارة الباقات والاشتراكات وحالات المتاجر — بدون ارتباط بمتجر واحد.</w:t>
      </w:r>
    </w:p>
    <w:p>
      <w:pPr>
        <w:spacing w:before="360" w:after="200"/>
        <w:jc w:val="right"/>
        <w:bidi w:val="1"/>
        <w:pBdr>
          <w:bottom w:val="single" w:sz="12" w:space="4" w:color="0E8088"/>
        </w:pBdr>
      </w:pPr>
      <w:r>
        <w:rPr>
          <w:rFonts w:ascii="Calibri" w:hAnsi="Calibri" w:cs="Arial"/>
          <w:b/>
          <w:color w:val="0E4D64"/>
          <w:sz w:val="32"/>
        </w:rPr>
        <w:t>11. ضمانات سلامة البيانات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0E8088" w:val="clear"/>
            <w:tcBorders>
              <w:top w:val="single" w:sz="4" w:color="0E8088"/>
              <w:left w:val="single" w:sz="4" w:color="0E8088"/>
              <w:bottom w:val="single" w:sz="4" w:color="0E8088"/>
              <w:right w:val="single" w:sz="4" w:color="0E8088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/>
                <w:color w:val="FFFFFF"/>
                <w:sz w:val="20"/>
              </w:rPr>
              <w:t>الطبقة</w:t>
            </w:r>
          </w:p>
        </w:tc>
        <w:tc>
          <w:tcPr>
            <w:tcW w:type="dxa" w:w="4819"/>
            <w:shd w:fill="0E8088" w:val="clear"/>
            <w:tcBorders>
              <w:top w:val="single" w:sz="4" w:color="0E8088"/>
              <w:left w:val="single" w:sz="4" w:color="0E8088"/>
              <w:bottom w:val="single" w:sz="4" w:color="0E8088"/>
              <w:right w:val="single" w:sz="4" w:color="0E8088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/>
                <w:color w:val="FFFFFF"/>
                <w:sz w:val="20"/>
              </w:rPr>
              <w:t>ماذا تحمي؟</w:t>
            </w:r>
          </w:p>
        </w:tc>
      </w:tr>
      <w:tr>
        <w:tc>
          <w:tcPr>
            <w:tcW w:type="dxa" w:w="4819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عزل المستأجر</w:t>
            </w:r>
          </w:p>
        </w:tc>
        <w:tc>
          <w:tcPr>
            <w:tcW w:type="dxa" w:w="4819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لا خلط بين متجرين</w:t>
            </w:r>
          </w:p>
        </w:tc>
      </w:tr>
      <w:tr>
        <w:tc>
          <w:tcPr>
            <w:tcW w:type="dxa" w:w="4819"/>
            <w:shd w:fill="E8F6F7" w:val="clear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مال الفاتورة</w:t>
            </w:r>
          </w:p>
        </w:tc>
        <w:tc>
          <w:tcPr>
            <w:tcW w:type="dxa" w:w="4819"/>
            <w:shd w:fill="E8F6F7" w:val="clear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مجاميع صحيحة؛ بند = عمولة + مورد</w:t>
            </w:r>
          </w:p>
        </w:tc>
      </w:tr>
      <w:tr>
        <w:tc>
          <w:tcPr>
            <w:tcW w:type="dxa" w:w="4819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مورد التخصيص</w:t>
            </w:r>
          </w:p>
        </w:tc>
        <w:tc>
          <w:tcPr>
            <w:tcW w:type="dxa" w:w="4819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لا بيع من دفعة مورد على بند مورد آخر</w:t>
            </w:r>
          </w:p>
        </w:tc>
      </w:tr>
      <w:tr>
        <w:tc>
          <w:tcPr>
            <w:tcW w:type="dxa" w:w="4819"/>
            <w:shd w:fill="E8F6F7" w:val="clear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المرتجع</w:t>
            </w:r>
          </w:p>
        </w:tc>
        <w:tc>
          <w:tcPr>
            <w:tcW w:type="dxa" w:w="4819"/>
            <w:shd w:fill="E8F6F7" w:val="clear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إعادة الكمية لنفس دفعة البيع</w:t>
            </w:r>
          </w:p>
        </w:tc>
      </w:tr>
      <w:tr>
        <w:tc>
          <w:tcPr>
            <w:tcW w:type="dxa" w:w="4819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التسوية</w:t>
            </w:r>
          </w:p>
        </w:tc>
        <w:tc>
          <w:tcPr>
            <w:tcW w:type="dxa" w:w="4819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لا دفع مزدوج لنفس البند؛ صافي محسوب</w:t>
            </w:r>
          </w:p>
        </w:tc>
      </w:tr>
      <w:tr>
        <w:tc>
          <w:tcPr>
            <w:tcW w:type="dxa" w:w="4819"/>
            <w:shd w:fill="E8F6F7" w:val="clear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الدفتر</w:t>
            </w:r>
          </w:p>
        </w:tc>
        <w:tc>
          <w:tcPr>
            <w:tcW w:type="dxa" w:w="4819"/>
            <w:shd w:fill="E8F6F7" w:val="clear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إشارة حسب النوع؛ منع تكرار نفس العملية للمورد</w:t>
            </w:r>
          </w:p>
        </w:tc>
      </w:tr>
      <w:tr>
        <w:tc>
          <w:tcPr>
            <w:tcW w:type="dxa" w:w="4819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الأدوار</w:t>
            </w:r>
          </w:p>
        </w:tc>
        <w:tc>
          <w:tcPr>
            <w:tcW w:type="dxa" w:w="4819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سوبر أدمن بلا متجر؛ الباقون بمتجر</w:t>
            </w:r>
          </w:p>
        </w:tc>
      </w:tr>
      <w:tr>
        <w:tc>
          <w:tcPr>
            <w:tcW w:type="dxa" w:w="4819"/>
            <w:shd w:fill="E8F6F7" w:val="clear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الحذف</w:t>
            </w:r>
          </w:p>
        </w:tc>
        <w:tc>
          <w:tcPr>
            <w:tcW w:type="dxa" w:w="4819"/>
            <w:shd w:fill="E8F6F7" w:val="clear"/>
            <w:tcBorders>
              <w:top w:val="single" w:sz="4" w:color="D0E8EA"/>
              <w:left w:val="single" w:sz="4" w:color="D0E8EA"/>
              <w:bottom w:val="single" w:sz="4" w:color="D0E8EA"/>
              <w:right w:val="single" w:sz="4" w:color="D0E8EA"/>
            </w:tcBorders>
          </w:tcPr>
          <w:p>
            <w:pPr>
              <w:jc w:val="right"/>
              <w:bidi w:val="1"/>
            </w:pPr>
            <w:r/>
            <w:r>
              <w:rPr>
                <w:rFonts w:ascii="Calibri" w:hAnsi="Calibri" w:cs="Arial"/>
                <w:b w:val="0"/>
                <w:color w:val="1F2937"/>
                <w:sz w:val="20"/>
              </w:rPr>
              <w:t>الماليات تُلغى ولا تُمسح؛ الكتالوج حذف ناعم</w:t>
            </w:r>
          </w:p>
        </w:tc>
      </w:tr>
    </w:tbl>
    <w:p/>
    <w:p>
      <w:pPr>
        <w:spacing w:after="120" w:before="0" w:line="360" w:lineRule="auto"/>
        <w:jc w:val="right"/>
        <w:bidi w:val="1"/>
      </w:pPr>
      <w:r>
        <w:rPr>
          <w:rFonts w:ascii="Calibri" w:hAnsi="Calibri" w:cs="Arial"/>
          <w:b w:val="0"/>
          <w:color w:val="4B5563"/>
          <w:sz w:val="20"/>
        </w:rPr>
        <w:t>ما يبقى في طبقة التطبيق: قفل الصفوف عند البيع المتزامن، تقريب المبالغ، تطابق الوحدات، سقف المرتجع، منع تسوية الملغى، انتهاء الاشتراك، وتشفير رقم الحساب.</w:t>
      </w:r>
    </w:p>
    <w:p>
      <w:pPr>
        <w:spacing w:before="360" w:after="200"/>
        <w:jc w:val="right"/>
        <w:bidi w:val="1"/>
        <w:pBdr>
          <w:bottom w:val="single" w:sz="12" w:space="4" w:color="0E8088"/>
        </w:pBdr>
      </w:pPr>
      <w:r>
        <w:rPr>
          <w:rFonts w:ascii="Calibri" w:hAnsi="Calibri" w:cs="Arial"/>
          <w:b/>
          <w:color w:val="0E4D64"/>
          <w:sz w:val="32"/>
        </w:rPr>
        <w:t>12. خلاصة</w:t>
      </w:r>
    </w:p>
    <w:p>
      <w:pPr>
        <w:pStyle w:val="ListNumber"/>
        <w:spacing w:after="60" w:line="360" w:lineRule="auto"/>
        <w:jc w:val="right"/>
        <w:bidi w:val="1"/>
      </w:pPr>
      <w:r>
        <w:rPr>
          <w:rFonts w:ascii="Calibri" w:hAnsi="Calibri" w:cs="Arial"/>
          <w:b w:val="0"/>
          <w:color w:val="1F2937"/>
          <w:sz w:val="22"/>
        </w:rPr>
        <w:t>المورد يضع بضاعته أمانة على شكل دفعات.</w:t>
      </w:r>
    </w:p>
    <w:p>
      <w:pPr>
        <w:pStyle w:val="ListNumber"/>
        <w:spacing w:after="60" w:line="360" w:lineRule="auto"/>
        <w:jc w:val="right"/>
        <w:bidi w:val="1"/>
      </w:pPr>
      <w:r>
        <w:rPr>
          <w:rFonts w:ascii="Calibri" w:hAnsi="Calibri" w:cs="Arial"/>
          <w:b w:val="0"/>
          <w:color w:val="1F2937"/>
          <w:sz w:val="22"/>
        </w:rPr>
        <w:t>المتجر يبيع مع اختيار حرّ للدفعة ويقتطع عمولة مجمّدة لحظة البيع.</w:t>
      </w:r>
    </w:p>
    <w:p>
      <w:pPr>
        <w:pStyle w:val="ListNumber"/>
        <w:spacing w:after="60" w:line="360" w:lineRule="auto"/>
        <w:jc w:val="right"/>
        <w:bidi w:val="1"/>
      </w:pPr>
      <w:r>
        <w:rPr>
          <w:rFonts w:ascii="Calibri" w:hAnsi="Calibri" w:cs="Arial"/>
          <w:b w:val="0"/>
          <w:color w:val="1F2937"/>
          <w:sz w:val="22"/>
        </w:rPr>
        <w:t>كل حركة مالية للمورد تمر عبر دفتر إضافي؛ الرصيد يُحسب منه.</w:t>
      </w:r>
    </w:p>
    <w:p>
      <w:pPr>
        <w:pStyle w:val="ListNumber"/>
        <w:spacing w:after="60" w:line="360" w:lineRule="auto"/>
        <w:jc w:val="right"/>
        <w:bidi w:val="1"/>
      </w:pPr>
      <w:r>
        <w:rPr>
          <w:rFonts w:ascii="Calibri" w:hAnsi="Calibri" w:cs="Arial"/>
          <w:b w:val="0"/>
          <w:color w:val="1F2937"/>
          <w:sz w:val="22"/>
        </w:rPr>
        <w:t>الدفع الفعلي عبر تسوية تفصيلية مربوطة ببنود بيع غير مكررة.</w:t>
      </w:r>
    </w:p>
    <w:p>
      <w:pPr>
        <w:pStyle w:val="ListNumber"/>
        <w:spacing w:after="60" w:line="360" w:lineRule="auto"/>
        <w:jc w:val="right"/>
        <w:bidi w:val="1"/>
      </w:pPr>
      <w:r>
        <w:rPr>
          <w:rFonts w:ascii="Calibri" w:hAnsi="Calibri" w:cs="Arial"/>
          <w:b w:val="0"/>
          <w:color w:val="1F2937"/>
          <w:sz w:val="22"/>
        </w:rPr>
        <w:t>المرتجعات والتالف وإلغاء الفواتير مسارات منفصلة حتى لا تختلط محاسبياً.</w:t>
      </w:r>
    </w:p>
    <w:p>
      <w:pPr>
        <w:spacing w:after="120" w:before="160" w:line="360" w:lineRule="auto"/>
        <w:jc w:val="right"/>
        <w:bidi w:val="1"/>
      </w:pPr>
      <w:r>
        <w:rPr>
          <w:rFonts w:ascii="Calibri" w:hAnsi="Calibri" w:cs="Arial"/>
          <w:b w:val="0"/>
          <w:color w:val="1F2937"/>
          <w:sz w:val="22"/>
        </w:rPr>
        <w:t>بهذا تصبح قاعدة البيانات عموداً فقرياً تشغيلياً ومحاسبياً؛ وطبقة الخدمات (API / نقطة البيع) تبني فوقها المعاملات اليومية والتقارير والواجهات.</w:t>
      </w:r>
    </w:p>
    <w:p>
      <w:pPr>
        <w:spacing w:after="120" w:before="400" w:line="360" w:lineRule="auto"/>
        <w:jc w:val="right"/>
        <w:bidi w:val="1"/>
      </w:pPr>
      <w:r>
        <w:rPr>
          <w:rFonts w:ascii="Calibri" w:hAnsi="Calibri" w:cs="Arial"/>
          <w:b w:val="0"/>
          <w:color w:val="4B5563"/>
          <w:sz w:val="18"/>
        </w:rPr>
        <w:t>— نهاية التقرير —</w:t>
      </w:r>
    </w:p>
    <w:p>
      <w:pPr>
        <w:spacing w:after="120" w:before="0" w:line="360" w:lineRule="auto"/>
        <w:jc w:val="right"/>
        <w:bidi w:val="1"/>
      </w:pPr>
      <w:r>
        <w:rPr>
          <w:rFonts w:ascii="Calibri" w:hAnsi="Calibri" w:cs="Arial"/>
          <w:b w:val="0"/>
          <w:color w:val="4B5563"/>
          <w:sz w:val="16"/>
        </w:rPr>
        <w:t>المصادر في المشروع: SYSTEM_REPORT.md · SYSTEM_OVERVIEW.md · docs/commision_system.drawio · backend/prisma/schema.prisma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