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991E" w14:textId="77777777" w:rsidR="00A143A6" w:rsidRPr="00A143A6" w:rsidRDefault="00A143A6" w:rsidP="00A143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3A6">
        <w:rPr>
          <w:rFonts w:ascii="Times New Roman" w:hAnsi="Times New Roman" w:cs="Times New Roman"/>
          <w:b/>
          <w:bCs/>
          <w:sz w:val="32"/>
          <w:szCs w:val="32"/>
        </w:rPr>
        <w:t>E-Waste Recycling App – Backend Tech Stack Overview</w:t>
      </w:r>
    </w:p>
    <w:p w14:paraId="6612D42F" w14:textId="6D97AFF1" w:rsidR="00A143A6" w:rsidRPr="00A143A6" w:rsidRDefault="00A143A6" w:rsidP="00A143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3A6">
        <w:rPr>
          <w:rFonts w:ascii="Times New Roman" w:hAnsi="Times New Roman" w:cs="Times New Roman"/>
          <w:b/>
          <w:bCs/>
          <w:sz w:val="24"/>
          <w:szCs w:val="24"/>
        </w:rPr>
        <w:t>Project Summary</w:t>
      </w:r>
    </w:p>
    <w:p w14:paraId="7B63096E" w14:textId="77777777" w:rsidR="00A143A6" w:rsidRPr="00A143A6" w:rsidRDefault="00A143A6" w:rsidP="00A143A6">
      <w:pPr>
        <w:rPr>
          <w:rFonts w:ascii="Times New Roman" w:hAnsi="Times New Roman" w:cs="Times New Roman"/>
        </w:rPr>
      </w:pPr>
      <w:r w:rsidRPr="00A143A6">
        <w:rPr>
          <w:rFonts w:ascii="Times New Roman" w:hAnsi="Times New Roman" w:cs="Times New Roman"/>
        </w:rPr>
        <w:t>This backend system powers a cross-platform mobile application that facilitates responsible e-waste disposal. Users submit electronic devices for recycling and earn credit points based on AI-driven analysis of the device’s category, model, and condition.</w:t>
      </w:r>
    </w:p>
    <w:p w14:paraId="216DB28E" w14:textId="77777777" w:rsidR="00A143A6" w:rsidRPr="00A143A6" w:rsidRDefault="00A143A6" w:rsidP="00A143A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143A6">
        <w:rPr>
          <w:rFonts w:ascii="Times New Roman" w:hAnsi="Times New Roman" w:cs="Times New Roman"/>
          <w:b/>
          <w:bCs/>
          <w:sz w:val="18"/>
          <w:szCs w:val="18"/>
        </w:rPr>
        <w:pict w14:anchorId="7FC24787">
          <v:rect id="_x0000_i1114" style="width:0;height:1.5pt" o:hralign="center" o:hrstd="t" o:hr="t" fillcolor="#a0a0a0" stroked="f"/>
        </w:pict>
      </w:r>
    </w:p>
    <w:p w14:paraId="0867B327" w14:textId="5D8405EA" w:rsidR="00A143A6" w:rsidRPr="00A143A6" w:rsidRDefault="00A143A6" w:rsidP="00A143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3A6">
        <w:rPr>
          <w:rFonts w:ascii="Times New Roman" w:hAnsi="Times New Roman" w:cs="Times New Roman"/>
          <w:b/>
          <w:bCs/>
          <w:sz w:val="24"/>
          <w:szCs w:val="24"/>
        </w:rPr>
        <w:t>Backend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883"/>
        <w:gridCol w:w="5472"/>
      </w:tblGrid>
      <w:tr w:rsidR="0021430C" w:rsidRPr="00A143A6" w14:paraId="3879AA22" w14:textId="77777777" w:rsidTr="00A143A6">
        <w:tc>
          <w:tcPr>
            <w:tcW w:w="0" w:type="auto"/>
            <w:hideMark/>
          </w:tcPr>
          <w:p w14:paraId="0D50902D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hideMark/>
          </w:tcPr>
          <w:p w14:paraId="66B7B9E1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3162DB09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21430C" w:rsidRPr="00A143A6" w14:paraId="6147D57A" w14:textId="77777777" w:rsidTr="00A143A6">
        <w:tc>
          <w:tcPr>
            <w:tcW w:w="0" w:type="auto"/>
            <w:hideMark/>
          </w:tcPr>
          <w:p w14:paraId="2E80A73B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 Framework</w:t>
            </w:r>
          </w:p>
        </w:tc>
        <w:tc>
          <w:tcPr>
            <w:tcW w:w="0" w:type="auto"/>
            <w:hideMark/>
          </w:tcPr>
          <w:p w14:paraId="189C43D9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3DE3A543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High-performance asynchronous Python framework ideal for scalable APIs. Offers native OpenAPI support and integrates cleanly with </w:t>
            </w:r>
            <w:proofErr w:type="spellStart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 Auth for secure access control.</w:t>
            </w:r>
          </w:p>
        </w:tc>
      </w:tr>
      <w:tr w:rsidR="0021430C" w:rsidRPr="00A143A6" w14:paraId="1A0238BB" w14:textId="77777777" w:rsidTr="00A143A6">
        <w:tc>
          <w:tcPr>
            <w:tcW w:w="0" w:type="auto"/>
            <w:hideMark/>
          </w:tcPr>
          <w:p w14:paraId="1BD596DE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 &amp; Storage</w:t>
            </w:r>
          </w:p>
        </w:tc>
        <w:tc>
          <w:tcPr>
            <w:tcW w:w="0" w:type="auto"/>
            <w:hideMark/>
          </w:tcPr>
          <w:p w14:paraId="6C098B8D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(PostgreSQL + Storage)</w:t>
            </w:r>
          </w:p>
        </w:tc>
        <w:tc>
          <w:tcPr>
            <w:tcW w:w="0" w:type="auto"/>
            <w:hideMark/>
          </w:tcPr>
          <w:p w14:paraId="453B964F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Combines a robust relational database with file storage. Seamlessly integrates with </w:t>
            </w:r>
            <w:proofErr w:type="spellStart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 Auth and </w:t>
            </w:r>
            <w:proofErr w:type="spellStart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 for full-stack data operations.</w:t>
            </w:r>
          </w:p>
        </w:tc>
      </w:tr>
      <w:tr w:rsidR="0021430C" w:rsidRPr="00A143A6" w14:paraId="48883D8C" w14:textId="77777777" w:rsidTr="00A143A6">
        <w:tc>
          <w:tcPr>
            <w:tcW w:w="0" w:type="auto"/>
            <w:hideMark/>
          </w:tcPr>
          <w:p w14:paraId="62472437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5E453A5B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20DC8FE0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Secure, scalable authentication service that integrates directly with </w:t>
            </w:r>
            <w:proofErr w:type="spellStart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 DB and </w:t>
            </w:r>
            <w:proofErr w:type="spellStart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 using JWT, simplifying auth flow across backend and frontend.</w:t>
            </w:r>
          </w:p>
        </w:tc>
      </w:tr>
      <w:tr w:rsidR="0021430C" w:rsidRPr="00A143A6" w14:paraId="76028DB7" w14:textId="77777777" w:rsidTr="00A143A6">
        <w:tc>
          <w:tcPr>
            <w:tcW w:w="0" w:type="auto"/>
            <w:hideMark/>
          </w:tcPr>
          <w:p w14:paraId="2DADEE0A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Model Hosting</w:t>
            </w:r>
          </w:p>
        </w:tc>
        <w:tc>
          <w:tcPr>
            <w:tcW w:w="0" w:type="auto"/>
            <w:hideMark/>
          </w:tcPr>
          <w:p w14:paraId="0491C8BB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Replicate (YOLOv8)</w:t>
            </w:r>
          </w:p>
        </w:tc>
        <w:tc>
          <w:tcPr>
            <w:tcW w:w="0" w:type="auto"/>
            <w:hideMark/>
          </w:tcPr>
          <w:p w14:paraId="67CE7244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Hosts YOLOv8 object detection models for real-time classification. API-based inference integrates directly into </w:t>
            </w:r>
            <w:proofErr w:type="spellStart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 without requiring local GPU setup.</w:t>
            </w:r>
          </w:p>
        </w:tc>
      </w:tr>
      <w:tr w:rsidR="0021430C" w:rsidRPr="00A143A6" w14:paraId="63C0E0F1" w14:textId="77777777" w:rsidTr="00A143A6">
        <w:tc>
          <w:tcPr>
            <w:tcW w:w="0" w:type="auto"/>
            <w:hideMark/>
          </w:tcPr>
          <w:p w14:paraId="5B039EB7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0" w:type="auto"/>
            <w:hideMark/>
          </w:tcPr>
          <w:p w14:paraId="34ECA86D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Render.com</w:t>
            </w:r>
          </w:p>
        </w:tc>
        <w:tc>
          <w:tcPr>
            <w:tcW w:w="0" w:type="auto"/>
            <w:hideMark/>
          </w:tcPr>
          <w:p w14:paraId="76061E2F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Cloud platform that auto-deploys from Git and handles scalability, HTTPS, and environment variables. Works well with </w:t>
            </w:r>
            <w:proofErr w:type="spellStart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 for continuous delivery.</w:t>
            </w:r>
          </w:p>
        </w:tc>
      </w:tr>
      <w:tr w:rsidR="0021430C" w:rsidRPr="00A143A6" w14:paraId="04A1C46E" w14:textId="77777777" w:rsidTr="00A143A6">
        <w:tc>
          <w:tcPr>
            <w:tcW w:w="0" w:type="auto"/>
            <w:hideMark/>
          </w:tcPr>
          <w:p w14:paraId="79825EBB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CI/CD (Mobile)</w:t>
            </w:r>
          </w:p>
        </w:tc>
        <w:tc>
          <w:tcPr>
            <w:tcW w:w="0" w:type="auto"/>
            <w:hideMark/>
          </w:tcPr>
          <w:p w14:paraId="19791C54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Codemagic</w:t>
            </w:r>
            <w:proofErr w:type="spellEnd"/>
          </w:p>
        </w:tc>
        <w:tc>
          <w:tcPr>
            <w:tcW w:w="0" w:type="auto"/>
            <w:hideMark/>
          </w:tcPr>
          <w:p w14:paraId="564087AC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Specialized CI/CD tool for Flutter. Automates building and publishing apps, and works in parallel with backend API updates from Render.</w:t>
            </w:r>
          </w:p>
        </w:tc>
      </w:tr>
      <w:tr w:rsidR="0021430C" w:rsidRPr="00A143A6" w14:paraId="7C996712" w14:textId="77777777" w:rsidTr="00A143A6">
        <w:tc>
          <w:tcPr>
            <w:tcW w:w="0" w:type="auto"/>
            <w:hideMark/>
          </w:tcPr>
          <w:p w14:paraId="4CF95580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Monitoring &amp; Alerts</w:t>
            </w:r>
          </w:p>
        </w:tc>
        <w:tc>
          <w:tcPr>
            <w:tcW w:w="0" w:type="auto"/>
            <w:hideMark/>
          </w:tcPr>
          <w:p w14:paraId="1451E96B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Sentry (</w:t>
            </w:r>
            <w:proofErr w:type="spellStart"/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FastAPI</w:t>
            </w:r>
            <w:proofErr w:type="spellEnd"/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Flutter SDKs)</w:t>
            </w:r>
          </w:p>
        </w:tc>
        <w:tc>
          <w:tcPr>
            <w:tcW w:w="0" w:type="auto"/>
            <w:hideMark/>
          </w:tcPr>
          <w:p w14:paraId="25746026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Full-stack error monitoring. Offers instant alerts and issue tracking for both mobile (Flutter) and backend (</w:t>
            </w:r>
            <w:proofErr w:type="spellStart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), ensuring reliability.</w:t>
            </w:r>
          </w:p>
        </w:tc>
      </w:tr>
      <w:tr w:rsidR="0021430C" w:rsidRPr="00A143A6" w14:paraId="2CF7ABCA" w14:textId="77777777" w:rsidTr="00A143A6">
        <w:tc>
          <w:tcPr>
            <w:tcW w:w="0" w:type="auto"/>
            <w:hideMark/>
          </w:tcPr>
          <w:p w14:paraId="24141281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API Testing &amp; Docs</w:t>
            </w:r>
          </w:p>
        </w:tc>
        <w:tc>
          <w:tcPr>
            <w:tcW w:w="0" w:type="auto"/>
            <w:hideMark/>
          </w:tcPr>
          <w:p w14:paraId="3116A72C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Postman</w:t>
            </w:r>
          </w:p>
        </w:tc>
        <w:tc>
          <w:tcPr>
            <w:tcW w:w="0" w:type="auto"/>
            <w:hideMark/>
          </w:tcPr>
          <w:p w14:paraId="4D180153" w14:textId="77777777" w:rsidR="00A143A6" w:rsidRPr="00A143A6" w:rsidRDefault="00A143A6" w:rsidP="00A143A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Standard for API collaboration. Works alongside </w:t>
            </w:r>
            <w:proofErr w:type="spellStart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>FastAPI’s</w:t>
            </w:r>
            <w:proofErr w:type="spellEnd"/>
            <w:r w:rsidRPr="00A143A6">
              <w:rPr>
                <w:rFonts w:ascii="Times New Roman" w:hAnsi="Times New Roman" w:cs="Times New Roman"/>
                <w:sz w:val="20"/>
                <w:szCs w:val="20"/>
              </w:rPr>
              <w:t xml:space="preserve"> OpenAPI schema for testing and documenting endpoints efficiently.</w:t>
            </w:r>
          </w:p>
        </w:tc>
      </w:tr>
    </w:tbl>
    <w:p w14:paraId="348627AB" w14:textId="77777777" w:rsidR="00A143A6" w:rsidRPr="00A143A6" w:rsidRDefault="00A143A6" w:rsidP="00A143A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143A6">
        <w:rPr>
          <w:rFonts w:ascii="Times New Roman" w:hAnsi="Times New Roman" w:cs="Times New Roman"/>
          <w:b/>
          <w:bCs/>
          <w:sz w:val="18"/>
          <w:szCs w:val="18"/>
        </w:rPr>
        <w:pict w14:anchorId="5B3F0160">
          <v:rect id="_x0000_i1115" style="width:0;height:1.5pt" o:hralign="center" o:hrstd="t" o:hr="t" fillcolor="#a0a0a0" stroked="f"/>
        </w:pict>
      </w:r>
    </w:p>
    <w:p w14:paraId="19ACA94F" w14:textId="388A7B6B" w:rsidR="00A143A6" w:rsidRPr="00A143A6" w:rsidRDefault="00A143A6" w:rsidP="00A143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3A6">
        <w:rPr>
          <w:rFonts w:ascii="Times New Roman" w:hAnsi="Times New Roman" w:cs="Times New Roman"/>
          <w:b/>
          <w:bCs/>
          <w:sz w:val="24"/>
          <w:szCs w:val="24"/>
        </w:rPr>
        <w:t>Integration Summary</w:t>
      </w:r>
    </w:p>
    <w:p w14:paraId="0FE7FB8B" w14:textId="77777777" w:rsidR="00A143A6" w:rsidRPr="00A143A6" w:rsidRDefault="00A143A6" w:rsidP="00A143A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143A6">
        <w:rPr>
          <w:rFonts w:ascii="Times New Roman" w:hAnsi="Times New Roman" w:cs="Times New Roman"/>
          <w:sz w:val="20"/>
          <w:szCs w:val="20"/>
        </w:rPr>
        <w:t>AI Workflow: User-submitted images are processed via Replicate (YOLOv8) to detect category, make/model, and condition with confidence scores.</w:t>
      </w:r>
    </w:p>
    <w:p w14:paraId="51A9ADAE" w14:textId="77777777" w:rsidR="00A143A6" w:rsidRPr="00A143A6" w:rsidRDefault="00A143A6" w:rsidP="00A143A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143A6">
        <w:rPr>
          <w:rFonts w:ascii="Times New Roman" w:hAnsi="Times New Roman" w:cs="Times New Roman"/>
          <w:sz w:val="20"/>
          <w:szCs w:val="20"/>
        </w:rPr>
        <w:t>Scoring Logic: Confidence scores are averaged, and points are assigned based on defined thresholds.</w:t>
      </w:r>
    </w:p>
    <w:p w14:paraId="7578D02A" w14:textId="77777777" w:rsidR="00A143A6" w:rsidRPr="00A143A6" w:rsidRDefault="00A143A6" w:rsidP="00A143A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143A6">
        <w:rPr>
          <w:rFonts w:ascii="Times New Roman" w:hAnsi="Times New Roman" w:cs="Times New Roman"/>
          <w:sz w:val="20"/>
          <w:szCs w:val="20"/>
        </w:rPr>
        <w:t xml:space="preserve">Database Interaction: Results and submission details are stored in </w:t>
      </w:r>
      <w:proofErr w:type="spellStart"/>
      <w:r w:rsidRPr="00A143A6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A143A6">
        <w:rPr>
          <w:rFonts w:ascii="Times New Roman" w:hAnsi="Times New Roman" w:cs="Times New Roman"/>
          <w:sz w:val="20"/>
          <w:szCs w:val="20"/>
        </w:rPr>
        <w:t>.</w:t>
      </w:r>
    </w:p>
    <w:p w14:paraId="36D6C0F0" w14:textId="77777777" w:rsidR="00A143A6" w:rsidRPr="00A143A6" w:rsidRDefault="00A143A6" w:rsidP="00A143A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143A6">
        <w:rPr>
          <w:rFonts w:ascii="Times New Roman" w:hAnsi="Times New Roman" w:cs="Times New Roman"/>
          <w:sz w:val="20"/>
          <w:szCs w:val="20"/>
        </w:rPr>
        <w:t xml:space="preserve">Authentication Flow: All interactions are secured and authenticated via </w:t>
      </w:r>
      <w:proofErr w:type="spellStart"/>
      <w:r w:rsidRPr="00A143A6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A143A6">
        <w:rPr>
          <w:rFonts w:ascii="Times New Roman" w:hAnsi="Times New Roman" w:cs="Times New Roman"/>
          <w:sz w:val="20"/>
          <w:szCs w:val="20"/>
        </w:rPr>
        <w:t xml:space="preserve"> Auth.</w:t>
      </w:r>
    </w:p>
    <w:p w14:paraId="67B47D65" w14:textId="77777777" w:rsidR="00A143A6" w:rsidRPr="00A143A6" w:rsidRDefault="00A143A6" w:rsidP="00A143A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A143A6">
        <w:rPr>
          <w:rFonts w:ascii="Times New Roman" w:hAnsi="Times New Roman" w:cs="Times New Roman"/>
          <w:sz w:val="20"/>
          <w:szCs w:val="20"/>
        </w:rPr>
        <w:t xml:space="preserve">Unified Flow: </w:t>
      </w:r>
      <w:proofErr w:type="spellStart"/>
      <w:r w:rsidRPr="00A143A6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A143A6">
        <w:rPr>
          <w:rFonts w:ascii="Times New Roman" w:hAnsi="Times New Roman" w:cs="Times New Roman"/>
          <w:sz w:val="20"/>
          <w:szCs w:val="20"/>
        </w:rPr>
        <w:t xml:space="preserve"> serves as the central orchestrator, interacting with </w:t>
      </w:r>
      <w:proofErr w:type="spellStart"/>
      <w:r w:rsidRPr="00A143A6">
        <w:rPr>
          <w:rFonts w:ascii="Times New Roman" w:hAnsi="Times New Roman" w:cs="Times New Roman"/>
          <w:sz w:val="20"/>
          <w:szCs w:val="20"/>
        </w:rPr>
        <w:t>Supabase</w:t>
      </w:r>
      <w:proofErr w:type="spellEnd"/>
      <w:r w:rsidRPr="00A143A6">
        <w:rPr>
          <w:rFonts w:ascii="Times New Roman" w:hAnsi="Times New Roman" w:cs="Times New Roman"/>
          <w:sz w:val="20"/>
          <w:szCs w:val="20"/>
        </w:rPr>
        <w:t xml:space="preserve"> for data, </w:t>
      </w:r>
      <w:proofErr w:type="gramStart"/>
      <w:r w:rsidRPr="00A143A6">
        <w:rPr>
          <w:rFonts w:ascii="Times New Roman" w:hAnsi="Times New Roman" w:cs="Times New Roman"/>
          <w:sz w:val="20"/>
          <w:szCs w:val="20"/>
        </w:rPr>
        <w:t>Replicate</w:t>
      </w:r>
      <w:proofErr w:type="gramEnd"/>
      <w:r w:rsidRPr="00A143A6">
        <w:rPr>
          <w:rFonts w:ascii="Times New Roman" w:hAnsi="Times New Roman" w:cs="Times New Roman"/>
          <w:sz w:val="20"/>
          <w:szCs w:val="20"/>
        </w:rPr>
        <w:t xml:space="preserve"> for AI inference, and Sentry for monitoring—all deployed seamlessly via Render</w:t>
      </w:r>
      <w:r w:rsidRPr="00A143A6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17595548" w14:textId="77777777" w:rsidR="002A7FE0" w:rsidRPr="00A143A6" w:rsidRDefault="002A7FE0" w:rsidP="00A143A6">
      <w:pPr>
        <w:rPr>
          <w:rFonts w:ascii="Times New Roman" w:hAnsi="Times New Roman" w:cs="Times New Roman"/>
          <w:sz w:val="12"/>
          <w:szCs w:val="12"/>
        </w:rPr>
      </w:pPr>
    </w:p>
    <w:sectPr w:rsidR="002A7FE0" w:rsidRPr="00A14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05C"/>
    <w:multiLevelType w:val="multilevel"/>
    <w:tmpl w:val="B49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03183"/>
    <w:multiLevelType w:val="multilevel"/>
    <w:tmpl w:val="3C14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A1D46"/>
    <w:multiLevelType w:val="multilevel"/>
    <w:tmpl w:val="799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89441">
    <w:abstractNumId w:val="2"/>
  </w:num>
  <w:num w:numId="2" w16cid:durableId="447359085">
    <w:abstractNumId w:val="0"/>
  </w:num>
  <w:num w:numId="3" w16cid:durableId="1068191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A6"/>
    <w:rsid w:val="00000C4F"/>
    <w:rsid w:val="0021430C"/>
    <w:rsid w:val="002A7FE0"/>
    <w:rsid w:val="00A143A6"/>
    <w:rsid w:val="00CF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C5F7"/>
  <w15:chartTrackingRefBased/>
  <w15:docId w15:val="{EF4A8D4E-F3F9-45C6-9220-AA1418D7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4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4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5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3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Parzival Goat</dc:creator>
  <cp:keywords/>
  <dc:description/>
  <cp:lastModifiedBy>Parzival Goat</cp:lastModifiedBy>
  <cp:revision>2</cp:revision>
  <dcterms:created xsi:type="dcterms:W3CDTF">2025-06-16T09:33:00Z</dcterms:created>
  <dcterms:modified xsi:type="dcterms:W3CDTF">2025-06-16T09:44:00Z</dcterms:modified>
</cp:coreProperties>
</file>