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jc w:val="center"/>
      </w:pPr>
      <w:r>
        <w:rPr>
          <w:rFonts w:ascii="Calibri" w:hAnsi="Calibri"/>
          <w:b/>
          <w:color w:val="1B365D"/>
          <w:sz w:val="26"/>
        </w:rPr>
        <w:t>ÉCOLE SUPÉRIEURE PRIVÉE D'INGÉNIERIE ET DE TECHNOLOGIES (ESPRIM)</w:t>
        <w:br/>
      </w:r>
      <w:r>
        <w:rPr>
          <w:rFonts w:ascii="Calibri" w:hAnsi="Calibri"/>
          <w:color w:val="2B547E"/>
          <w:sz w:val="22"/>
        </w:rPr>
        <w:t>Département Génie Informatique &amp; Systèmes Embarqués</w:t>
        <w:br/>
      </w:r>
      <w:r>
        <w:rPr>
          <w:rFonts w:ascii="Calibri" w:hAnsi="Calibri"/>
          <w:i/>
          <w:color w:val="64748B"/>
          <w:sz w:val="20"/>
        </w:rPr>
        <w:t>Cycle de Formation d'Ingénieurs — Spécialité Intelligence Artificielle &amp; IIoT</w:t>
      </w:r>
    </w:p>
    <w:p>
      <w:pPr>
        <w:spacing w:before="280" w:after="400"/>
        <w:jc w:val="center"/>
      </w:pPr>
      <w:r>
        <w:rPr>
          <w:color w:val="2B547E"/>
          <w:sz w:val="16"/>
        </w:rPr>
        <w:t>_________________________________________________________________________________</w:t>
      </w:r>
    </w:p>
    <w:p>
      <w:pPr>
        <w:spacing w:before="200" w:after="200"/>
        <w:jc w:val="center"/>
      </w:pPr>
      <w:r>
        <w:rPr>
          <w:rFonts w:ascii="Calibri" w:hAnsi="Calibri"/>
          <w:b/>
          <w:color w:val="2B547E"/>
          <w:sz w:val="28"/>
        </w:rPr>
        <w:t>MÉMOIRE DE STAGE DE FIN D'ÉTUDES D'INGÉNIEUR</w:t>
      </w:r>
    </w:p>
    <w:tbl>
      <w:tblPr>
        <w:tblW w:type="auto" w:w="0"/>
        <w:jc w:val="center"/>
        <w:tblLayout w:type="fixed"/>
        <w:tblLook w:firstColumn="1" w:firstRow="1" w:lastColumn="0" w:lastRow="0" w:noHBand="0" w:noVBand="1" w:val="04A0"/>
      </w:tblPr>
      <w:tblGrid>
        <w:gridCol w:w="9087"/>
      </w:tblGrid>
      <w:tr>
        <w:tc>
          <w:tcPr>
            <w:tcW w:type="dxa" w:w="9360"/>
            <w:shd w:fill="F0F4F8"/>
            <w:tcBorders>
              <w:top w:val="single" w:sz="16" w:space="0" w:color="1B365D"/>
              <w:left w:val="single" w:sz="36" w:space="0" w:color="1B365D"/>
              <w:bottom w:val="single" w:sz="16" w:space="0" w:color="1B365D"/>
              <w:right w:val="single" w:sz="16" w:space="0" w:color="1B365D"/>
            </w:tcBorders>
          </w:tcPr>
          <w:p>
            <w:pPr>
              <w:spacing w:before="280" w:after="240"/>
              <w:jc w:val="center"/>
            </w:pPr>
            <w:r>
              <w:rPr>
                <w:rFonts w:ascii="Calibri" w:hAnsi="Calibri"/>
                <w:b/>
                <w:color w:val="1B365D"/>
                <w:sz w:val="34"/>
              </w:rPr>
              <w:t>EDGE AI EXPLICABLE ET AGENT IA / RAG POUR LA DÉTECTION D'ANOMALIES INDUSTRIELLES SUR RASPBERRY PI</w:t>
              <w:br/>
            </w:r>
            <w:r>
              <w:rPr>
                <w:rFonts w:ascii="Calibri" w:hAnsi="Calibri"/>
                <w:i/>
                <w:color w:val="2D3748"/>
                <w:sz w:val="23"/>
              </w:rPr>
              <w:t>Conception, Déploiement Embarqué (&lt; 0.25 ms), Explicabilité XAI,</w:t>
              <w:br/>
              <w:t>Supervision Interactive et Valorisation Pédagogique</w:t>
            </w:r>
          </w:p>
        </w:tc>
      </w:tr>
    </w:tbl>
    <w:p>
      <w:pPr>
        <w:spacing w:before="720" w:after="400"/>
      </w:pPr>
    </w:p>
    <w:tbl>
      <w:tblPr>
        <w:tblW w:type="auto" w:w="0"/>
        <w:jc w:val="center"/>
        <w:tblLayout w:type="fixed"/>
        <w:tblLook w:firstColumn="1" w:firstRow="1" w:lastColumn="0" w:lastRow="0" w:noHBand="0" w:noVBand="1" w:val="04A0"/>
      </w:tblPr>
      <w:tblGrid>
        <w:gridCol w:w="4543"/>
        <w:gridCol w:w="4543"/>
      </w:tblGrid>
      <w:tr>
        <w:tc>
          <w:tcPr>
            <w:tcW w:type="dxa" w:w="3312"/>
          </w:tcPr>
          <w:p>
            <w:pPr>
              <w:spacing w:after="80"/>
            </w:pPr>
            <w:r>
              <w:rPr>
                <w:b/>
                <w:color w:val="1B365D"/>
                <w:sz w:val="22"/>
              </w:rPr>
              <w:t>Auteur :</w:t>
            </w:r>
          </w:p>
        </w:tc>
        <w:tc>
          <w:tcPr>
            <w:tcW w:type="dxa" w:w="6048"/>
          </w:tcPr>
          <w:p>
            <w:pPr>
              <w:spacing w:after="80"/>
            </w:pPr>
            <w:r>
              <w:rPr>
                <w:color w:val="222222"/>
                <w:sz w:val="22"/>
              </w:rPr>
              <w:t>Élève-Ingénieur en Génie Informatique &amp; IA</w:t>
            </w:r>
          </w:p>
        </w:tc>
      </w:tr>
      <w:tr>
        <w:tc>
          <w:tcPr>
            <w:tcW w:type="dxa" w:w="3312"/>
          </w:tcPr>
          <w:p>
            <w:pPr>
              <w:spacing w:after="80"/>
            </w:pPr>
            <w:r>
              <w:rPr>
                <w:b/>
                <w:color w:val="1B365D"/>
                <w:sz w:val="22"/>
              </w:rPr>
              <w:t>Encadrante Académique :</w:t>
            </w:r>
          </w:p>
        </w:tc>
        <w:tc>
          <w:tcPr>
            <w:tcW w:type="dxa" w:w="6048"/>
          </w:tcPr>
          <w:p>
            <w:pPr>
              <w:spacing w:after="80"/>
            </w:pPr>
            <w:r>
              <w:rPr>
                <w:color w:val="222222"/>
                <w:sz w:val="22"/>
              </w:rPr>
              <w:t>Mme Amina Rouis (ESPRIM)</w:t>
            </w:r>
          </w:p>
        </w:tc>
      </w:tr>
      <w:tr>
        <w:tc>
          <w:tcPr>
            <w:tcW w:type="dxa" w:w="3312"/>
          </w:tcPr>
          <w:p>
            <w:pPr>
              <w:spacing w:after="80"/>
            </w:pPr>
            <w:r>
              <w:rPr>
                <w:b/>
                <w:color w:val="1B365D"/>
                <w:sz w:val="22"/>
              </w:rPr>
              <w:t>Cadre de Réalisation :</w:t>
            </w:r>
          </w:p>
        </w:tc>
        <w:tc>
          <w:tcPr>
            <w:tcW w:type="dxa" w:w="6048"/>
          </w:tcPr>
          <w:p>
            <w:pPr>
              <w:spacing w:after="80"/>
            </w:pPr>
            <w:r>
              <w:rPr>
                <w:color w:val="222222"/>
                <w:sz w:val="22"/>
              </w:rPr>
              <w:t>Projet de Recherche Appliquée &amp; Usine 4.0</w:t>
            </w:r>
          </w:p>
        </w:tc>
      </w:tr>
      <w:tr>
        <w:tc>
          <w:tcPr>
            <w:tcW w:type="dxa" w:w="3312"/>
          </w:tcPr>
          <w:p>
            <w:pPr>
              <w:spacing w:after="80"/>
            </w:pPr>
            <w:r>
              <w:rPr>
                <w:b/>
                <w:color w:val="1B365D"/>
                <w:sz w:val="22"/>
              </w:rPr>
              <w:t>Année Universitaire :</w:t>
            </w:r>
          </w:p>
        </w:tc>
        <w:tc>
          <w:tcPr>
            <w:tcW w:type="dxa" w:w="6048"/>
          </w:tcPr>
          <w:p>
            <w:pPr>
              <w:spacing w:after="80"/>
            </w:pPr>
            <w:r>
              <w:rPr>
                <w:color w:val="222222"/>
                <w:sz w:val="22"/>
              </w:rPr>
              <w:t>2025 – 2026</w:t>
            </w:r>
          </w:p>
        </w:tc>
      </w:tr>
    </w:tbl>
    <w:p>
      <w:pPr>
        <w:spacing w:before="800" w:after="0"/>
        <w:jc w:val="center"/>
      </w:pPr>
      <w:r>
        <w:rPr>
          <w:i/>
          <w:color w:val="64748B"/>
          <w:sz w:val="19"/>
        </w:rPr>
        <w:t>Présenté et soutenu publiquement devant le jury composé de :</w:t>
        <w:br/>
        <w:t>Président du Jury  |  Rapporteur  |  Encadrante : Mme Amina Rouis</w:t>
        <w:br/>
        <w:t>Session : Août / Septembre 2026</w:t>
      </w:r>
    </w:p>
    <w:p>
      <w:r>
        <w:br w:type="page"/>
      </w:r>
    </w:p>
    <w:p>
      <w:pPr>
        <w:keepNext/>
        <w:spacing w:before="280" w:after="160"/>
      </w:pPr>
      <w:r>
        <w:rPr>
          <w:rFonts w:ascii="Calibri" w:hAnsi="Calibri"/>
          <w:b/>
          <w:color w:val="1B365D"/>
          <w:sz w:val="34"/>
        </w:rPr>
        <w:t>Remerciements</w:t>
      </w:r>
    </w:p>
    <w:p>
      <w:pPr>
        <w:spacing w:line="276" w:lineRule="auto" w:after="100"/>
        <w:jc w:val="both"/>
      </w:pPr>
      <w:r>
        <w:rPr>
          <w:rFonts w:ascii="Calibri" w:hAnsi="Calibri"/>
          <w:color w:val="222222"/>
          <w:sz w:val="22"/>
        </w:rPr>
        <w:t>Au terme de ce travail marquant l'aboutissement de mon cycle de formation d'ingénieur, je tiens à exprimer ma profonde gratitude à l'ensemble des personnes dont le soutien intellectuel, technique et humain a rendu possible la concrétisation de ce projet de recherche et développement.</w:t>
      </w:r>
    </w:p>
    <w:p>
      <w:pPr>
        <w:spacing w:line="276" w:lineRule="auto" w:after="100"/>
        <w:jc w:val="both"/>
      </w:pPr>
      <w:r>
        <w:rPr>
          <w:rFonts w:ascii="Calibri" w:hAnsi="Calibri"/>
          <w:b/>
          <w:color w:val="1B365D"/>
          <w:sz w:val="22"/>
        </w:rPr>
        <w:t xml:space="preserve">À mon encadrante, Mme Amina Rouis : </w:t>
      </w:r>
      <w:r>
        <w:rPr>
          <w:rFonts w:ascii="Calibri" w:hAnsi="Calibri"/>
          <w:color w:val="222222"/>
          <w:sz w:val="22"/>
        </w:rPr>
        <w:t>J'adresse mes remerciements les plus sincères et les plus respectueux à mon encadrante académique, Mme Amina Rouis, pour sa confiance continue, sa disponibilité remarquable et ses orientations méthodologiques d'une rigueur exemplaire. Ses retours exigeants, sa vision scientifique pointue et ses conseils bienveillants ont constitué un guide précieux pour hisser ce travail au niveau des standards internationaux des revues de rang Q1.</w:t>
      </w:r>
    </w:p>
    <w:p>
      <w:pPr>
        <w:spacing w:line="276" w:lineRule="auto" w:after="100"/>
        <w:jc w:val="both"/>
      </w:pPr>
      <w:r>
        <w:rPr>
          <w:rFonts w:ascii="Calibri" w:hAnsi="Calibri"/>
          <w:b/>
          <w:color w:val="1B365D"/>
          <w:sz w:val="22"/>
        </w:rPr>
        <w:t xml:space="preserve">À l'équipe pédagogique de l'ESPRIM : </w:t>
      </w:r>
      <w:r>
        <w:rPr>
          <w:rFonts w:ascii="Calibri" w:hAnsi="Calibri"/>
          <w:color w:val="222222"/>
          <w:sz w:val="22"/>
        </w:rPr>
        <w:t>Je remercie chaleureusement le corps professoral et l'équipe pédagogique de l'ESPRIM pour la qualité exceptionnelle des enseignements dispensés tout au long de mon cursus en informatique et systèmes embarqués. Leur dévouement a constitué le socle solide sur lequel ce projet pluridisciplinaire (traitement du signal, optimisation matérielle, machine learning et architectures logicielles) a pu s'épanouir.</w:t>
      </w:r>
    </w:p>
    <w:p>
      <w:pPr>
        <w:spacing w:line="276" w:lineRule="auto" w:after="100"/>
        <w:jc w:val="both"/>
      </w:pPr>
      <w:r>
        <w:rPr>
          <w:rFonts w:ascii="Calibri" w:hAnsi="Calibri"/>
          <w:b/>
          <w:color w:val="1B365D"/>
          <w:sz w:val="22"/>
        </w:rPr>
        <w:t xml:space="preserve">Aux membres du jury : </w:t>
      </w:r>
      <w:r>
        <w:rPr>
          <w:rFonts w:ascii="Calibri" w:hAnsi="Calibri"/>
          <w:color w:val="222222"/>
          <w:sz w:val="22"/>
        </w:rPr>
        <w:t>J'exprime également ma reconnaissance aux membres éminents du jury qui m'ont fait l'honneur d'évaluer ce mémoire de stage et d'assister à ma soutenance. Leurs observations critiques et leurs questions constructives représentent une opportunité inestimable d'enrichir ma démarche d'ingénieur-chercheur.</w:t>
      </w:r>
    </w:p>
    <w:p>
      <w:pPr>
        <w:spacing w:line="276" w:lineRule="auto" w:after="100"/>
        <w:jc w:val="both"/>
      </w:pPr>
      <w:r>
        <w:rPr>
          <w:rFonts w:ascii="Calibri" w:hAnsi="Calibri"/>
          <w:b/>
          <w:color w:val="1B365D"/>
          <w:sz w:val="22"/>
        </w:rPr>
        <w:t xml:space="preserve">À mes proches : </w:t>
      </w:r>
      <w:r>
        <w:rPr>
          <w:rFonts w:ascii="Calibri" w:hAnsi="Calibri"/>
          <w:color w:val="222222"/>
          <w:sz w:val="22"/>
        </w:rPr>
        <w:t>Enfin, j'adresse une pensée toute particulière à ma famille et à mes proches, pour leur soutien indéfectible, leur patience et leurs encouragements constants au cours de ces intenses mois d'efforts.</w:t>
      </w:r>
    </w:p>
    <w:p>
      <w:r>
        <w:br w:type="page"/>
      </w:r>
    </w:p>
    <w:p>
      <w:pPr>
        <w:keepNext/>
        <w:spacing w:before="280" w:after="160"/>
      </w:pPr>
      <w:r>
        <w:rPr>
          <w:rFonts w:ascii="Calibri" w:hAnsi="Calibri"/>
          <w:b/>
          <w:color w:val="1B365D"/>
          <w:sz w:val="34"/>
        </w:rPr>
        <w:t>Résumé &amp; Abstract</w:t>
      </w:r>
    </w:p>
    <w:p>
      <w:pPr>
        <w:keepNext/>
        <w:spacing w:before="240" w:after="80"/>
      </w:pPr>
      <w:r>
        <w:rPr>
          <w:rFonts w:ascii="Calibri" w:hAnsi="Calibri"/>
          <w:b/>
          <w:color w:val="2B547E"/>
          <w:sz w:val="27"/>
        </w:rPr>
        <w:t>Résumé</w:t>
      </w:r>
    </w:p>
    <w:p>
      <w:pPr>
        <w:spacing w:line="276" w:lineRule="auto" w:after="100"/>
        <w:jc w:val="both"/>
      </w:pPr>
      <w:r>
        <w:rPr>
          <w:rFonts w:ascii="Calibri" w:hAnsi="Calibri"/>
          <w:color w:val="222222"/>
          <w:sz w:val="22"/>
        </w:rPr>
        <w:t>Dans l'écosystème de l'Industrie 4.0 et de l'Internet Industriel des Objets (IIoT), la maintenance prédictive des organes rotatifs — en particulier des roulements mécaniques — représente un enjeu critique de productivité et de sûreté opérationnelle. Face aux limitations intrinsèques du Cloud Computing (latence excessive, dépendance au réseau, coûts de bande passante et risques de confidentialité), ce projet de stage conçoit, déploie et évalue une architecture complète d'Intelligence Artificielle Embarquée (Edge AI), explicable (XAI) et couplée à un agent conversationnel autonome de génération augmentée par récupération (RAG), hébergée sur nano-ordinateur Raspberry Pi.</w:t>
      </w:r>
    </w:p>
    <w:p>
      <w:pPr>
        <w:spacing w:line="276" w:lineRule="auto" w:after="100"/>
        <w:jc w:val="both"/>
      </w:pPr>
      <w:r>
        <w:rPr>
          <w:rFonts w:ascii="Calibri" w:hAnsi="Calibri"/>
          <w:color w:val="222222"/>
          <w:sz w:val="22"/>
        </w:rPr>
        <w:t>En s'appuyant sur les signaux accélérométriques du banc d'essai CWRU (Case Western Reserve University) complétés par les données run-to-failure de la NASA IMS et des signaux synthétiques perturbés, une chaîne de prétraitement par fenêtrage glissant (1024 points, 85.3 ms) extrait 16 indicateurs physiques temporels, statistiques et spectraux (FFT). Cinq architectures IA (Gradient Boosting, Random Forest, 1D-CNN compact, Isolation Forest et Autoencodeur PyTorch) ont été entraînées et benchmarkées en conditions matérielles réelles. Le modèle Gradient Boosting s'impose comme le champion Edge, délivrant une latence d'inférence exceptionnelle de 0.218 ms (&lt; 1 ms imposé), un débit supérieur à 4 500 fenêtres/seconde, une empreinte mémoire minime de 30.6 KB et un F1-score de 0.978 sous perturbations sévères (bruit gaussien à SNR négatif).</w:t>
      </w:r>
    </w:p>
    <w:p>
      <w:pPr>
        <w:spacing w:line="276" w:lineRule="auto" w:after="100"/>
        <w:jc w:val="both"/>
      </w:pPr>
      <w:r>
        <w:rPr>
          <w:rFonts w:ascii="Calibri" w:hAnsi="Calibri"/>
          <w:color w:val="222222"/>
          <w:sz w:val="22"/>
        </w:rPr>
        <w:t>Un module d'explicabilité (XAI) basé sur les Z-scores met en lumière l'élévation spectaculaire du Kurtosis (+4.5 écarts-types) et l'émergence des fréquences caractéristiques cinématiques (BPFI, BPFO). En parallèle, un agent RAG indexe la base documentaire technique (D1 à D11) pour transformer instantanément les alertes prédictives en fiches d'intervention détaillées avec protocoles LOTO. L'ensemble est interconnecté via une API REST FastAPI et un tableau de bord React/Vite professionnel, puis formalisé en un dossier pédagogique de 16 heures de TP pour élèves-ingénieurs.</w:t>
      </w:r>
    </w:p>
    <w:p>
      <w:pPr>
        <w:spacing w:line="276" w:lineRule="auto" w:after="100"/>
        <w:jc w:val="both"/>
      </w:pPr>
      <w:r>
        <w:rPr>
          <w:rFonts w:ascii="Calibri" w:hAnsi="Calibri"/>
          <w:b/>
          <w:color w:val="1B365D"/>
          <w:sz w:val="22"/>
        </w:rPr>
        <w:t xml:space="preserve">Mots-clés : </w:t>
      </w:r>
      <w:r>
        <w:rPr>
          <w:rFonts w:ascii="Calibri" w:hAnsi="Calibri"/>
          <w:color w:val="222222"/>
          <w:sz w:val="22"/>
        </w:rPr>
        <w:t>Edge AI, Maintenance Prédictive, Roulements Industriels, CWRU, Raspberry Pi, Inférence Temps Réel, Explicabilité (XAI), Kurtosis, Agent IA, RAG (Retrieval-Augmented Generation), FastAPI, React.</w:t>
      </w:r>
    </w:p>
    <w:p>
      <w:pPr>
        <w:spacing w:after="160"/>
      </w:pPr>
    </w:p>
    <w:p>
      <w:pPr>
        <w:keepNext/>
        <w:spacing w:before="240" w:after="80"/>
      </w:pPr>
      <w:r>
        <w:rPr>
          <w:rFonts w:ascii="Calibri" w:hAnsi="Calibri"/>
          <w:b/>
          <w:color w:val="2B547E"/>
          <w:sz w:val="27"/>
        </w:rPr>
        <w:t>Abstract</w:t>
      </w:r>
    </w:p>
    <w:p>
      <w:pPr>
        <w:spacing w:line="276" w:lineRule="auto" w:after="100"/>
        <w:jc w:val="both"/>
      </w:pPr>
      <w:r>
        <w:rPr>
          <w:rFonts w:ascii="Calibri" w:hAnsi="Calibri"/>
          <w:color w:val="222222"/>
          <w:sz w:val="22"/>
        </w:rPr>
        <w:t>In the context of Industry 4.0 and the Industrial Internet of Things (IIoT), predictive maintenance of rotating machinery—especially rolling element bearings—constitutes a vital challenge for operational safety and cost efficiency. To overcome traditional Cloud bottlenecks (latency, bandwidth consumption, cyber-risks, and network outages), this engineering thesis develops, deploys, and benchmarks a full-stack, resource-aware Edge AI system paired with Explainable AI (XAI) and an autonomous Retrieval-Augmented Generation (RAG) diagnostic agent running directly on a Raspberry Pi single-board computer.</w:t>
      </w:r>
    </w:p>
    <w:p>
      <w:pPr>
        <w:spacing w:line="276" w:lineRule="auto" w:after="100"/>
        <w:jc w:val="both"/>
      </w:pPr>
      <w:r>
        <w:rPr>
          <w:rFonts w:ascii="Calibri" w:hAnsi="Calibri"/>
          <w:color w:val="222222"/>
          <w:sz w:val="22"/>
        </w:rPr>
        <w:t>Leveraging high-frequency vibration datasets from Case Western Reserve University (CWRU), NASA IMS run-to-failure endurance tests, and noise-perturbed synthetic streams, a sliding-window pipeline (1024 points, 85.3 ms) extracts 16 physical time-domain and FFT features. Five lightweight machine learning and deep learning models were trained and profiled. Gradient Boosting emerged as the Edge champion, achieving an ultra-fast inference latency of 0.218 ms, an inference throughput of over 4,500 frames/s, a compact memory size of 30.6 KB, and a resilient F1-score of 0.978 under harsh signal degradations.</w:t>
      </w:r>
    </w:p>
    <w:p>
      <w:pPr>
        <w:spacing w:line="276" w:lineRule="auto" w:after="100"/>
        <w:jc w:val="both"/>
      </w:pPr>
      <w:r>
        <w:rPr>
          <w:rFonts w:ascii="Calibri" w:hAnsi="Calibri"/>
          <w:color w:val="222222"/>
          <w:sz w:val="22"/>
        </w:rPr>
        <w:t>The XAI module reveals a marked Kurtosis leap (+4.5σ) and kinematic peak shifts (BPFO, BPFI). Concurrently, the RAG agent retrieves relevant technical guidelines (D1-D11) to synthesize actionable maintenance work orders including LOTO safety procedures. The end-to-end framework is fully operational via a FastAPI backend and a real-time React/Vite dashboard, and is formalized as a 16-hour engineering laboratory case study.</w:t>
      </w:r>
    </w:p>
    <w:p>
      <w:pPr>
        <w:spacing w:line="276" w:lineRule="auto" w:after="100"/>
        <w:jc w:val="both"/>
      </w:pPr>
      <w:r>
        <w:rPr>
          <w:rFonts w:ascii="Calibri" w:hAnsi="Calibri"/>
          <w:b/>
          <w:color w:val="1B365D"/>
          <w:sz w:val="22"/>
        </w:rPr>
        <w:t xml:space="preserve">Keywords: </w:t>
      </w:r>
      <w:r>
        <w:rPr>
          <w:rFonts w:ascii="Calibri" w:hAnsi="Calibri"/>
          <w:color w:val="222222"/>
          <w:sz w:val="22"/>
        </w:rPr>
        <w:t>Edge AI, Predictive Maintenance, Vibration Analysis, CWRU Bearings, Raspberry Pi, Low Latency, Explainable AI (XAI), RAG, Fault Diagnosis, Full-Stack Dashboard, IIoT.</w:t>
      </w:r>
    </w:p>
    <w:p>
      <w:r>
        <w:br w:type="page"/>
      </w:r>
    </w:p>
    <w:p>
      <w:pPr>
        <w:keepNext/>
        <w:spacing w:before="280" w:after="160"/>
      </w:pPr>
      <w:r>
        <w:rPr>
          <w:rFonts w:ascii="Calibri" w:hAnsi="Calibri"/>
          <w:b/>
          <w:color w:val="1B365D"/>
          <w:sz w:val="34"/>
        </w:rPr>
        <w:t>Table des Matières</w:t>
      </w:r>
    </w:p>
    <w:tbl>
      <w:tblPr>
        <w:tblW w:type="auto" w:w="0"/>
        <w:jc w:val="center"/>
        <w:tblLayout w:type="fixed"/>
        <w:tblLook w:firstColumn="1" w:firstRow="1" w:lastColumn="0" w:lastRow="0" w:noHBand="0" w:noVBand="1" w:val="04A0"/>
      </w:tblPr>
      <w:tblGrid>
        <w:gridCol w:w="4543"/>
        <w:gridCol w:w="4543"/>
      </w:tblGrid>
      <w:tr>
        <w:tc>
          <w:tcPr>
            <w:tcW w:type="dxa" w:w="8352"/>
          </w:tcPr>
          <w:p>
            <w:pPr>
              <w:spacing w:after="40"/>
            </w:pPr>
            <w:r>
              <w:rPr>
                <w:b/>
                <w:color w:val="1B365D"/>
                <w:sz w:val="20"/>
              </w:rPr>
              <w:t>Introduction Générale</w:t>
            </w:r>
          </w:p>
        </w:tc>
        <w:tc>
          <w:tcPr>
            <w:tcW w:type="dxa" w:w="1008"/>
          </w:tcPr>
          <w:p>
            <w:pPr>
              <w:spacing w:after="40"/>
              <w:jc w:val="right"/>
            </w:pPr>
            <w:r>
              <w:rPr>
                <w:b/>
                <w:color w:val="2B547E"/>
                <w:sz w:val="20"/>
              </w:rPr>
              <w:t>1</w:t>
            </w:r>
          </w:p>
        </w:tc>
      </w:tr>
      <w:tr>
        <w:tc>
          <w:tcPr>
            <w:tcW w:type="dxa" w:w="8352"/>
          </w:tcPr>
          <w:p>
            <w:pPr>
              <w:spacing w:after="40"/>
            </w:pPr>
            <w:r>
              <w:rPr>
                <w:b/>
                <w:color w:val="1B365D"/>
                <w:sz w:val="20"/>
              </w:rPr>
              <w:t>Chapitre 1 : Contexte Industriel, Cahier des Charges &amp; Analyse du Besoin</w:t>
            </w:r>
          </w:p>
        </w:tc>
        <w:tc>
          <w:tcPr>
            <w:tcW w:type="dxa" w:w="1008"/>
          </w:tcPr>
          <w:p>
            <w:pPr>
              <w:spacing w:after="40"/>
              <w:jc w:val="right"/>
            </w:pPr>
            <w:r>
              <w:rPr>
                <w:b/>
                <w:color w:val="2B547E"/>
                <w:sz w:val="20"/>
              </w:rPr>
              <w:t>5</w:t>
            </w:r>
          </w:p>
        </w:tc>
      </w:tr>
      <w:tr>
        <w:tc>
          <w:tcPr>
            <w:tcW w:type="dxa" w:w="8352"/>
          </w:tcPr>
          <w:p>
            <w:pPr>
              <w:spacing w:after="40"/>
            </w:pPr>
            <w:r>
              <w:rPr>
                <w:color w:val="222222"/>
                <w:sz w:val="20"/>
              </w:rPr>
              <w:t xml:space="preserve">   1.1 Contexte Général : La Révolution de la Maintenance Prédictive 4.0</w:t>
            </w:r>
          </w:p>
        </w:tc>
        <w:tc>
          <w:tcPr>
            <w:tcW w:type="dxa" w:w="1008"/>
          </w:tcPr>
          <w:p>
            <w:pPr>
              <w:spacing w:after="40"/>
              <w:jc w:val="right"/>
            </w:pPr>
            <w:r>
              <w:rPr>
                <w:b/>
                <w:color w:val="2B547E"/>
                <w:sz w:val="20"/>
              </w:rPr>
              <w:t>5</w:t>
            </w:r>
          </w:p>
        </w:tc>
      </w:tr>
      <w:tr>
        <w:tc>
          <w:tcPr>
            <w:tcW w:type="dxa" w:w="8352"/>
          </w:tcPr>
          <w:p>
            <w:pPr>
              <w:spacing w:after="40"/>
            </w:pPr>
            <w:r>
              <w:rPr>
                <w:color w:val="222222"/>
                <w:sz w:val="20"/>
              </w:rPr>
              <w:t xml:space="preserve">   1.2 Problématique de Défaillance des Organes Rotatifs et Roulements</w:t>
            </w:r>
          </w:p>
        </w:tc>
        <w:tc>
          <w:tcPr>
            <w:tcW w:type="dxa" w:w="1008"/>
          </w:tcPr>
          <w:p>
            <w:pPr>
              <w:spacing w:after="40"/>
              <w:jc w:val="right"/>
            </w:pPr>
            <w:r>
              <w:rPr>
                <w:b/>
                <w:color w:val="2B547E"/>
                <w:sz w:val="20"/>
              </w:rPr>
              <w:t>6</w:t>
            </w:r>
          </w:p>
        </w:tc>
      </w:tr>
      <w:tr>
        <w:tc>
          <w:tcPr>
            <w:tcW w:type="dxa" w:w="8352"/>
          </w:tcPr>
          <w:p>
            <w:pPr>
              <w:spacing w:after="40"/>
            </w:pPr>
            <w:r>
              <w:rPr>
                <w:color w:val="222222"/>
                <w:sz w:val="20"/>
              </w:rPr>
              <w:t xml:space="preserve">   1.3 Analyse Fonctionnelle du Besoin (FAST et Contraintes Opérationnelles)</w:t>
            </w:r>
          </w:p>
        </w:tc>
        <w:tc>
          <w:tcPr>
            <w:tcW w:type="dxa" w:w="1008"/>
          </w:tcPr>
          <w:p>
            <w:pPr>
              <w:spacing w:after="40"/>
              <w:jc w:val="right"/>
            </w:pPr>
            <w:r>
              <w:rPr>
                <w:b/>
                <w:color w:val="2B547E"/>
                <w:sz w:val="20"/>
              </w:rPr>
              <w:t>7</w:t>
            </w:r>
          </w:p>
        </w:tc>
      </w:tr>
      <w:tr>
        <w:tc>
          <w:tcPr>
            <w:tcW w:type="dxa" w:w="8352"/>
          </w:tcPr>
          <w:p>
            <w:pPr>
              <w:spacing w:after="40"/>
            </w:pPr>
            <w:r>
              <w:rPr>
                <w:color w:val="222222"/>
                <w:sz w:val="20"/>
              </w:rPr>
              <w:t xml:space="preserve">   1.4 Spécifications Matérielles et Exigences Temps Réel sur Raspberry Pi</w:t>
            </w:r>
          </w:p>
        </w:tc>
        <w:tc>
          <w:tcPr>
            <w:tcW w:type="dxa" w:w="1008"/>
          </w:tcPr>
          <w:p>
            <w:pPr>
              <w:spacing w:after="40"/>
              <w:jc w:val="right"/>
            </w:pPr>
            <w:r>
              <w:rPr>
                <w:b/>
                <w:color w:val="2B547E"/>
                <w:sz w:val="20"/>
              </w:rPr>
              <w:t>8</w:t>
            </w:r>
          </w:p>
        </w:tc>
      </w:tr>
      <w:tr>
        <w:tc>
          <w:tcPr>
            <w:tcW w:type="dxa" w:w="8352"/>
          </w:tcPr>
          <w:p>
            <w:pPr>
              <w:spacing w:after="40"/>
            </w:pPr>
            <w:r>
              <w:rPr>
                <w:color w:val="222222"/>
                <w:sz w:val="20"/>
              </w:rPr>
              <w:t xml:space="preserve">   1.5 Découpage en Livrables (L1 à L17) et Planning Stratégique</w:t>
            </w:r>
          </w:p>
        </w:tc>
        <w:tc>
          <w:tcPr>
            <w:tcW w:type="dxa" w:w="1008"/>
          </w:tcPr>
          <w:p>
            <w:pPr>
              <w:spacing w:after="40"/>
              <w:jc w:val="right"/>
            </w:pPr>
            <w:r>
              <w:rPr>
                <w:b/>
                <w:color w:val="2B547E"/>
                <w:sz w:val="20"/>
              </w:rPr>
              <w:t>9</w:t>
            </w:r>
          </w:p>
        </w:tc>
      </w:tr>
      <w:tr>
        <w:tc>
          <w:tcPr>
            <w:tcW w:type="dxa" w:w="8352"/>
          </w:tcPr>
          <w:p>
            <w:pPr>
              <w:spacing w:after="40"/>
            </w:pPr>
            <w:r>
              <w:rPr>
                <w:b/>
                <w:color w:val="1B365D"/>
                <w:sz w:val="20"/>
              </w:rPr>
              <w:t>Chapitre 2 : État de l'Art Scientifique Approfondi (Revue de Rang Q1)</w:t>
            </w:r>
          </w:p>
        </w:tc>
        <w:tc>
          <w:tcPr>
            <w:tcW w:type="dxa" w:w="1008"/>
          </w:tcPr>
          <w:p>
            <w:pPr>
              <w:spacing w:after="40"/>
              <w:jc w:val="right"/>
            </w:pPr>
            <w:r>
              <w:rPr>
                <w:b/>
                <w:color w:val="2B547E"/>
                <w:sz w:val="20"/>
              </w:rPr>
              <w:t>11</w:t>
            </w:r>
          </w:p>
        </w:tc>
      </w:tr>
      <w:tr>
        <w:tc>
          <w:tcPr>
            <w:tcW w:type="dxa" w:w="8352"/>
          </w:tcPr>
          <w:p>
            <w:pPr>
              <w:spacing w:after="40"/>
            </w:pPr>
            <w:r>
              <w:rPr>
                <w:color w:val="222222"/>
                <w:sz w:val="20"/>
              </w:rPr>
              <w:t xml:space="preserve">   2.1 Panorama des Datasets de Référence (CWRU, NASA IMS, PRONOSTIA, MIMII)</w:t>
            </w:r>
          </w:p>
        </w:tc>
        <w:tc>
          <w:tcPr>
            <w:tcW w:type="dxa" w:w="1008"/>
          </w:tcPr>
          <w:p>
            <w:pPr>
              <w:spacing w:after="40"/>
              <w:jc w:val="right"/>
            </w:pPr>
            <w:r>
              <w:rPr>
                <w:b/>
                <w:color w:val="2B547E"/>
                <w:sz w:val="20"/>
              </w:rPr>
              <w:t>11</w:t>
            </w:r>
          </w:p>
        </w:tc>
      </w:tr>
      <w:tr>
        <w:tc>
          <w:tcPr>
            <w:tcW w:type="dxa" w:w="8352"/>
          </w:tcPr>
          <w:p>
            <w:pPr>
              <w:spacing w:after="40"/>
            </w:pPr>
            <w:r>
              <w:rPr>
                <w:color w:val="222222"/>
                <w:sz w:val="20"/>
              </w:rPr>
              <w:t xml:space="preserve">   2.2 Fondements Physiques Vibratoires et Équations Cinématiques des Défauts</w:t>
            </w:r>
          </w:p>
        </w:tc>
        <w:tc>
          <w:tcPr>
            <w:tcW w:type="dxa" w:w="1008"/>
          </w:tcPr>
          <w:p>
            <w:pPr>
              <w:spacing w:after="40"/>
              <w:jc w:val="right"/>
            </w:pPr>
            <w:r>
              <w:rPr>
                <w:b/>
                <w:color w:val="2B547E"/>
                <w:sz w:val="20"/>
              </w:rPr>
              <w:t>13</w:t>
            </w:r>
          </w:p>
        </w:tc>
      </w:tr>
      <w:tr>
        <w:tc>
          <w:tcPr>
            <w:tcW w:type="dxa" w:w="8352"/>
          </w:tcPr>
          <w:p>
            <w:pPr>
              <w:spacing w:after="40"/>
            </w:pPr>
            <w:r>
              <w:rPr>
                <w:color w:val="222222"/>
                <w:sz w:val="20"/>
              </w:rPr>
              <w:t xml:space="preserve">   2.3 Algorithmes d'Apprentissage Automatique pour Séries Temporelles Industrielles</w:t>
            </w:r>
          </w:p>
        </w:tc>
        <w:tc>
          <w:tcPr>
            <w:tcW w:type="dxa" w:w="1008"/>
          </w:tcPr>
          <w:p>
            <w:pPr>
              <w:spacing w:after="40"/>
              <w:jc w:val="right"/>
            </w:pPr>
            <w:r>
              <w:rPr>
                <w:b/>
                <w:color w:val="2B547E"/>
                <w:sz w:val="20"/>
              </w:rPr>
              <w:t>15</w:t>
            </w:r>
          </w:p>
        </w:tc>
      </w:tr>
      <w:tr>
        <w:tc>
          <w:tcPr>
            <w:tcW w:type="dxa" w:w="8352"/>
          </w:tcPr>
          <w:p>
            <w:pPr>
              <w:spacing w:after="40"/>
            </w:pPr>
            <w:r>
              <w:rPr>
                <w:color w:val="222222"/>
                <w:sz w:val="20"/>
              </w:rPr>
              <w:t xml:space="preserve">   2.4 Technologies d'Optimisation et de Déploiement Embarqué Edge AI</w:t>
            </w:r>
          </w:p>
        </w:tc>
        <w:tc>
          <w:tcPr>
            <w:tcW w:type="dxa" w:w="1008"/>
          </w:tcPr>
          <w:p>
            <w:pPr>
              <w:spacing w:after="40"/>
              <w:jc w:val="right"/>
            </w:pPr>
            <w:r>
              <w:rPr>
                <w:b/>
                <w:color w:val="2B547E"/>
                <w:sz w:val="20"/>
              </w:rPr>
              <w:t>17</w:t>
            </w:r>
          </w:p>
        </w:tc>
      </w:tr>
      <w:tr>
        <w:tc>
          <w:tcPr>
            <w:tcW w:type="dxa" w:w="8352"/>
          </w:tcPr>
          <w:p>
            <w:pPr>
              <w:spacing w:after="40"/>
            </w:pPr>
            <w:r>
              <w:rPr>
                <w:color w:val="222222"/>
                <w:sz w:val="20"/>
              </w:rPr>
              <w:t xml:space="preserve">   2.5 L'Explicabilité (XAI) dans les Processus Industriels Critiques</w:t>
            </w:r>
          </w:p>
        </w:tc>
        <w:tc>
          <w:tcPr>
            <w:tcW w:type="dxa" w:w="1008"/>
          </w:tcPr>
          <w:p>
            <w:pPr>
              <w:spacing w:after="40"/>
              <w:jc w:val="right"/>
            </w:pPr>
            <w:r>
              <w:rPr>
                <w:b/>
                <w:color w:val="2B547E"/>
                <w:sz w:val="20"/>
              </w:rPr>
              <w:t>18</w:t>
            </w:r>
          </w:p>
        </w:tc>
      </w:tr>
      <w:tr>
        <w:tc>
          <w:tcPr>
            <w:tcW w:type="dxa" w:w="8352"/>
          </w:tcPr>
          <w:p>
            <w:pPr>
              <w:spacing w:after="40"/>
            </w:pPr>
            <w:r>
              <w:rPr>
                <w:color w:val="222222"/>
                <w:sz w:val="20"/>
              </w:rPr>
              <w:t xml:space="preserve">   2.6 L'Avènement des Agents Intelligents et du RAG pour le Diagnostic IIoT</w:t>
            </w:r>
          </w:p>
        </w:tc>
        <w:tc>
          <w:tcPr>
            <w:tcW w:type="dxa" w:w="1008"/>
          </w:tcPr>
          <w:p>
            <w:pPr>
              <w:spacing w:after="40"/>
              <w:jc w:val="right"/>
            </w:pPr>
            <w:r>
              <w:rPr>
                <w:b/>
                <w:color w:val="2B547E"/>
                <w:sz w:val="20"/>
              </w:rPr>
              <w:t>20</w:t>
            </w:r>
          </w:p>
        </w:tc>
      </w:tr>
      <w:tr>
        <w:tc>
          <w:tcPr>
            <w:tcW w:type="dxa" w:w="8352"/>
          </w:tcPr>
          <w:p>
            <w:pPr>
              <w:spacing w:after="40"/>
            </w:pPr>
            <w:r>
              <w:rPr>
                <w:color w:val="222222"/>
                <w:sz w:val="20"/>
              </w:rPr>
              <w:t xml:space="preserve">   2.7 Synthèse Critique, Limites des Approches Existantes et Identification des Gaps</w:t>
            </w:r>
          </w:p>
        </w:tc>
        <w:tc>
          <w:tcPr>
            <w:tcW w:type="dxa" w:w="1008"/>
          </w:tcPr>
          <w:p>
            <w:pPr>
              <w:spacing w:after="40"/>
              <w:jc w:val="right"/>
            </w:pPr>
            <w:r>
              <w:rPr>
                <w:b/>
                <w:color w:val="2B547E"/>
                <w:sz w:val="20"/>
              </w:rPr>
              <w:t>21</w:t>
            </w:r>
          </w:p>
        </w:tc>
      </w:tr>
      <w:tr>
        <w:tc>
          <w:tcPr>
            <w:tcW w:type="dxa" w:w="8352"/>
          </w:tcPr>
          <w:p>
            <w:pPr>
              <w:spacing w:after="40"/>
            </w:pPr>
            <w:r>
              <w:rPr>
                <w:b/>
                <w:color w:val="1B365D"/>
                <w:sz w:val="20"/>
              </w:rPr>
              <w:t>Chapitre 3 : Traitement du Signal, Ingestion &amp; Feature Engineering</w:t>
            </w:r>
          </w:p>
        </w:tc>
        <w:tc>
          <w:tcPr>
            <w:tcW w:type="dxa" w:w="1008"/>
          </w:tcPr>
          <w:p>
            <w:pPr>
              <w:spacing w:after="40"/>
              <w:jc w:val="right"/>
            </w:pPr>
            <w:r>
              <w:rPr>
                <w:b/>
                <w:color w:val="2B547E"/>
                <w:sz w:val="20"/>
              </w:rPr>
              <w:t>24</w:t>
            </w:r>
          </w:p>
        </w:tc>
      </w:tr>
      <w:tr>
        <w:tc>
          <w:tcPr>
            <w:tcW w:type="dxa" w:w="8352"/>
          </w:tcPr>
          <w:p>
            <w:pPr>
              <w:spacing w:after="40"/>
            </w:pPr>
            <w:r>
              <w:rPr>
                <w:color w:val="222222"/>
                <w:sz w:val="20"/>
              </w:rPr>
              <w:t xml:space="preserve">   3.1 Banc d'Essai Expérimental CWRU et Caractéristiques des Signaux</w:t>
            </w:r>
          </w:p>
        </w:tc>
        <w:tc>
          <w:tcPr>
            <w:tcW w:type="dxa" w:w="1008"/>
          </w:tcPr>
          <w:p>
            <w:pPr>
              <w:spacing w:after="40"/>
              <w:jc w:val="right"/>
            </w:pPr>
            <w:r>
              <w:rPr>
                <w:b/>
                <w:color w:val="2B547E"/>
                <w:sz w:val="20"/>
              </w:rPr>
              <w:t>24</w:t>
            </w:r>
          </w:p>
        </w:tc>
      </w:tr>
      <w:tr>
        <w:tc>
          <w:tcPr>
            <w:tcW w:type="dxa" w:w="8352"/>
          </w:tcPr>
          <w:p>
            <w:pPr>
              <w:spacing w:after="40"/>
            </w:pPr>
            <w:r>
              <w:rPr>
                <w:color w:val="222222"/>
                <w:sz w:val="20"/>
              </w:rPr>
              <w:t xml:space="preserve">   3.2 Pipeline de Prétraitement et Stratégie de Fenêtrage Glissant</w:t>
            </w:r>
          </w:p>
        </w:tc>
        <w:tc>
          <w:tcPr>
            <w:tcW w:type="dxa" w:w="1008"/>
          </w:tcPr>
          <w:p>
            <w:pPr>
              <w:spacing w:after="40"/>
              <w:jc w:val="right"/>
            </w:pPr>
            <w:r>
              <w:rPr>
                <w:b/>
                <w:color w:val="2B547E"/>
                <w:sz w:val="20"/>
              </w:rPr>
              <w:t>25</w:t>
            </w:r>
          </w:p>
        </w:tc>
      </w:tr>
      <w:tr>
        <w:tc>
          <w:tcPr>
            <w:tcW w:type="dxa" w:w="8352"/>
          </w:tcPr>
          <w:p>
            <w:pPr>
              <w:spacing w:after="40"/>
            </w:pPr>
            <w:r>
              <w:rPr>
                <w:color w:val="222222"/>
                <w:sz w:val="20"/>
              </w:rPr>
              <w:t xml:space="preserve">   3.3 Formulation Mathématique Exhaustive des 16 Indicateurs Physiques Extraits</w:t>
            </w:r>
          </w:p>
        </w:tc>
        <w:tc>
          <w:tcPr>
            <w:tcW w:type="dxa" w:w="1008"/>
          </w:tcPr>
          <w:p>
            <w:pPr>
              <w:spacing w:after="40"/>
              <w:jc w:val="right"/>
            </w:pPr>
            <w:r>
              <w:rPr>
                <w:b/>
                <w:color w:val="2B547E"/>
                <w:sz w:val="20"/>
              </w:rPr>
              <w:t>26</w:t>
            </w:r>
          </w:p>
        </w:tc>
      </w:tr>
      <w:tr>
        <w:tc>
          <w:tcPr>
            <w:tcW w:type="dxa" w:w="8352"/>
          </w:tcPr>
          <w:p>
            <w:pPr>
              <w:spacing w:after="40"/>
            </w:pPr>
            <w:r>
              <w:rPr>
                <w:color w:val="222222"/>
                <w:sz w:val="20"/>
              </w:rPr>
              <w:t xml:space="preserve">   3.4 Création de Jeux de Données Hybrides Perturbés pour les Tests de Robustesse</w:t>
            </w:r>
          </w:p>
        </w:tc>
        <w:tc>
          <w:tcPr>
            <w:tcW w:type="dxa" w:w="1008"/>
          </w:tcPr>
          <w:p>
            <w:pPr>
              <w:spacing w:after="40"/>
              <w:jc w:val="right"/>
            </w:pPr>
            <w:r>
              <w:rPr>
                <w:b/>
                <w:color w:val="2B547E"/>
                <w:sz w:val="20"/>
              </w:rPr>
              <w:t>28</w:t>
            </w:r>
          </w:p>
        </w:tc>
      </w:tr>
      <w:tr>
        <w:tc>
          <w:tcPr>
            <w:tcW w:type="dxa" w:w="8352"/>
          </w:tcPr>
          <w:p>
            <w:pPr>
              <w:spacing w:after="40"/>
            </w:pPr>
            <w:r>
              <w:rPr>
                <w:color w:val="222222"/>
                <w:sz w:val="20"/>
              </w:rPr>
              <w:t xml:space="preserve">   3.5 Pipeline de Normalisation et Partitionnement Stratifié Train/Val/Test</w:t>
            </w:r>
          </w:p>
        </w:tc>
        <w:tc>
          <w:tcPr>
            <w:tcW w:type="dxa" w:w="1008"/>
          </w:tcPr>
          <w:p>
            <w:pPr>
              <w:spacing w:after="40"/>
              <w:jc w:val="right"/>
            </w:pPr>
            <w:r>
              <w:rPr>
                <w:b/>
                <w:color w:val="2B547E"/>
                <w:sz w:val="20"/>
              </w:rPr>
              <w:t>29</w:t>
            </w:r>
          </w:p>
        </w:tc>
      </w:tr>
      <w:tr>
        <w:tc>
          <w:tcPr>
            <w:tcW w:type="dxa" w:w="8352"/>
          </w:tcPr>
          <w:p>
            <w:pPr>
              <w:spacing w:after="40"/>
            </w:pPr>
            <w:r>
              <w:rPr>
                <w:b/>
                <w:color w:val="1B365D"/>
                <w:sz w:val="20"/>
              </w:rPr>
              <w:t>Chapitre 4 : Conception, Entraînement &amp; Évaluation des Modèles IA</w:t>
            </w:r>
          </w:p>
        </w:tc>
        <w:tc>
          <w:tcPr>
            <w:tcW w:type="dxa" w:w="1008"/>
          </w:tcPr>
          <w:p>
            <w:pPr>
              <w:spacing w:after="40"/>
              <w:jc w:val="right"/>
            </w:pPr>
            <w:r>
              <w:rPr>
                <w:b/>
                <w:color w:val="2B547E"/>
                <w:sz w:val="20"/>
              </w:rPr>
              <w:t>31</w:t>
            </w:r>
          </w:p>
        </w:tc>
      </w:tr>
      <w:tr>
        <w:tc>
          <w:tcPr>
            <w:tcW w:type="dxa" w:w="8352"/>
          </w:tcPr>
          <w:p>
            <w:pPr>
              <w:spacing w:after="40"/>
            </w:pPr>
            <w:r>
              <w:rPr>
                <w:color w:val="222222"/>
                <w:sz w:val="20"/>
              </w:rPr>
              <w:t xml:space="preserve">   4.1 Modèles Supervisés Basés sur les Arbres (Gradient Boosting, Random Forest)</w:t>
            </w:r>
          </w:p>
        </w:tc>
        <w:tc>
          <w:tcPr>
            <w:tcW w:type="dxa" w:w="1008"/>
          </w:tcPr>
          <w:p>
            <w:pPr>
              <w:spacing w:after="40"/>
              <w:jc w:val="right"/>
            </w:pPr>
            <w:r>
              <w:rPr>
                <w:b/>
                <w:color w:val="2B547E"/>
                <w:sz w:val="20"/>
              </w:rPr>
              <w:t>31</w:t>
            </w:r>
          </w:p>
        </w:tc>
      </w:tr>
      <w:tr>
        <w:tc>
          <w:tcPr>
            <w:tcW w:type="dxa" w:w="8352"/>
          </w:tcPr>
          <w:p>
            <w:pPr>
              <w:spacing w:after="40"/>
            </w:pPr>
            <w:r>
              <w:rPr>
                <w:color w:val="222222"/>
                <w:sz w:val="20"/>
              </w:rPr>
              <w:t xml:space="preserve">   4.2 Architecture Réseau de Neurones Convolutif 1D (1D-CNN Compact PyTorch)</w:t>
            </w:r>
          </w:p>
        </w:tc>
        <w:tc>
          <w:tcPr>
            <w:tcW w:type="dxa" w:w="1008"/>
          </w:tcPr>
          <w:p>
            <w:pPr>
              <w:spacing w:after="40"/>
              <w:jc w:val="right"/>
            </w:pPr>
            <w:r>
              <w:rPr>
                <w:b/>
                <w:color w:val="2B547E"/>
                <w:sz w:val="20"/>
              </w:rPr>
              <w:t>33</w:t>
            </w:r>
          </w:p>
        </w:tc>
      </w:tr>
      <w:tr>
        <w:tc>
          <w:tcPr>
            <w:tcW w:type="dxa" w:w="8352"/>
          </w:tcPr>
          <w:p>
            <w:pPr>
              <w:spacing w:after="40"/>
            </w:pPr>
            <w:r>
              <w:rPr>
                <w:color w:val="222222"/>
                <w:sz w:val="20"/>
              </w:rPr>
              <w:t xml:space="preserve">   4.3 Modèles Non Supervisés de Détection d'Anomalies (Isolation Forest, Autoencodeur)</w:t>
            </w:r>
          </w:p>
        </w:tc>
        <w:tc>
          <w:tcPr>
            <w:tcW w:type="dxa" w:w="1008"/>
          </w:tcPr>
          <w:p>
            <w:pPr>
              <w:spacing w:after="40"/>
              <w:jc w:val="right"/>
            </w:pPr>
            <w:r>
              <w:rPr>
                <w:b/>
                <w:color w:val="2B547E"/>
                <w:sz w:val="20"/>
              </w:rPr>
              <w:t>34</w:t>
            </w:r>
          </w:p>
        </w:tc>
      </w:tr>
      <w:tr>
        <w:tc>
          <w:tcPr>
            <w:tcW w:type="dxa" w:w="8352"/>
          </w:tcPr>
          <w:p>
            <w:pPr>
              <w:spacing w:after="40"/>
            </w:pPr>
            <w:r>
              <w:rPr>
                <w:color w:val="222222"/>
                <w:sz w:val="20"/>
              </w:rPr>
              <w:t xml:space="preserve">   4.4 Évaluation Comparative des Métriques (Accuracy, Précision, Rappel, F1-Score)</w:t>
            </w:r>
          </w:p>
        </w:tc>
        <w:tc>
          <w:tcPr>
            <w:tcW w:type="dxa" w:w="1008"/>
          </w:tcPr>
          <w:p>
            <w:pPr>
              <w:spacing w:after="40"/>
              <w:jc w:val="right"/>
            </w:pPr>
            <w:r>
              <w:rPr>
                <w:b/>
                <w:color w:val="2B547E"/>
                <w:sz w:val="20"/>
              </w:rPr>
              <w:t>36</w:t>
            </w:r>
          </w:p>
        </w:tc>
      </w:tr>
      <w:tr>
        <w:tc>
          <w:tcPr>
            <w:tcW w:type="dxa" w:w="8352"/>
          </w:tcPr>
          <w:p>
            <w:pPr>
              <w:spacing w:after="40"/>
            </w:pPr>
            <w:r>
              <w:rPr>
                <w:color w:val="222222"/>
                <w:sz w:val="20"/>
              </w:rPr>
              <w:t xml:space="preserve">   4.5 Analyse des Matrices de Confusion et des Courbes ROC-AUC</w:t>
            </w:r>
          </w:p>
        </w:tc>
        <w:tc>
          <w:tcPr>
            <w:tcW w:type="dxa" w:w="1008"/>
          </w:tcPr>
          <w:p>
            <w:pPr>
              <w:spacing w:after="40"/>
              <w:jc w:val="right"/>
            </w:pPr>
            <w:r>
              <w:rPr>
                <w:b/>
                <w:color w:val="2B547E"/>
                <w:sz w:val="20"/>
              </w:rPr>
              <w:t>37</w:t>
            </w:r>
          </w:p>
        </w:tc>
      </w:tr>
      <w:tr>
        <w:tc>
          <w:tcPr>
            <w:tcW w:type="dxa" w:w="8352"/>
          </w:tcPr>
          <w:p>
            <w:pPr>
              <w:spacing w:after="40"/>
            </w:pPr>
            <w:r>
              <w:rPr>
                <w:color w:val="222222"/>
                <w:sz w:val="20"/>
              </w:rPr>
              <w:t xml:space="preserve">   4.6 Sélection Motivée du Modèle Champion pour Déploiement Embarqué</w:t>
            </w:r>
          </w:p>
        </w:tc>
        <w:tc>
          <w:tcPr>
            <w:tcW w:type="dxa" w:w="1008"/>
          </w:tcPr>
          <w:p>
            <w:pPr>
              <w:spacing w:after="40"/>
              <w:jc w:val="right"/>
            </w:pPr>
            <w:r>
              <w:rPr>
                <w:b/>
                <w:color w:val="2B547E"/>
                <w:sz w:val="20"/>
              </w:rPr>
              <w:t>38</w:t>
            </w:r>
          </w:p>
        </w:tc>
      </w:tr>
      <w:tr>
        <w:tc>
          <w:tcPr>
            <w:tcW w:type="dxa" w:w="8352"/>
          </w:tcPr>
          <w:p>
            <w:pPr>
              <w:spacing w:after="40"/>
            </w:pPr>
            <w:r>
              <w:rPr>
                <w:b/>
                <w:color w:val="1B365D"/>
                <w:sz w:val="20"/>
              </w:rPr>
              <w:t>Chapitre 5 : Inférence Embarquée, Profilage Matériel &amp; Robustesse sur Raspberry Pi</w:t>
            </w:r>
          </w:p>
        </w:tc>
        <w:tc>
          <w:tcPr>
            <w:tcW w:type="dxa" w:w="1008"/>
          </w:tcPr>
          <w:p>
            <w:pPr>
              <w:spacing w:after="40"/>
              <w:jc w:val="right"/>
            </w:pPr>
            <w:r>
              <w:rPr>
                <w:b/>
                <w:color w:val="2B547E"/>
                <w:sz w:val="20"/>
              </w:rPr>
              <w:t>40</w:t>
            </w:r>
          </w:p>
        </w:tc>
      </w:tr>
      <w:tr>
        <w:tc>
          <w:tcPr>
            <w:tcW w:type="dxa" w:w="8352"/>
          </w:tcPr>
          <w:p>
            <w:pPr>
              <w:spacing w:after="40"/>
            </w:pPr>
            <w:r>
              <w:rPr>
                <w:color w:val="222222"/>
                <w:sz w:val="20"/>
              </w:rPr>
              <w:t xml:space="preserve">   5.1 Architecture du Moteur d'Inférence Temps Réel et Simulation de Flux IoT</w:t>
            </w:r>
          </w:p>
        </w:tc>
        <w:tc>
          <w:tcPr>
            <w:tcW w:type="dxa" w:w="1008"/>
          </w:tcPr>
          <w:p>
            <w:pPr>
              <w:spacing w:after="40"/>
              <w:jc w:val="right"/>
            </w:pPr>
            <w:r>
              <w:rPr>
                <w:b/>
                <w:color w:val="2B547E"/>
                <w:sz w:val="20"/>
              </w:rPr>
              <w:t>40</w:t>
            </w:r>
          </w:p>
        </w:tc>
      </w:tr>
      <w:tr>
        <w:tc>
          <w:tcPr>
            <w:tcW w:type="dxa" w:w="8352"/>
          </w:tcPr>
          <w:p>
            <w:pPr>
              <w:spacing w:after="40"/>
            </w:pPr>
            <w:r>
              <w:rPr>
                <w:color w:val="222222"/>
                <w:sz w:val="20"/>
              </w:rPr>
              <w:t xml:space="preserve">   5.2 Protocole Expérimental de Profilage des Ressources (Latence, Débit, RAM, CPU)</w:t>
            </w:r>
          </w:p>
        </w:tc>
        <w:tc>
          <w:tcPr>
            <w:tcW w:type="dxa" w:w="1008"/>
          </w:tcPr>
          <w:p>
            <w:pPr>
              <w:spacing w:after="40"/>
              <w:jc w:val="right"/>
            </w:pPr>
            <w:r>
              <w:rPr>
                <w:b/>
                <w:color w:val="2B547E"/>
                <w:sz w:val="20"/>
              </w:rPr>
              <w:t>41</w:t>
            </w:r>
          </w:p>
        </w:tc>
      </w:tr>
      <w:tr>
        <w:tc>
          <w:tcPr>
            <w:tcW w:type="dxa" w:w="8352"/>
          </w:tcPr>
          <w:p>
            <w:pPr>
              <w:spacing w:after="40"/>
            </w:pPr>
            <w:r>
              <w:rPr>
                <w:color w:val="222222"/>
                <w:sz w:val="20"/>
              </w:rPr>
              <w:t xml:space="preserve">   5.3 Analyse Chiffrée des Résultats de Benchmark sur Processeur ARM / Raspberry Pi</w:t>
            </w:r>
          </w:p>
        </w:tc>
        <w:tc>
          <w:tcPr>
            <w:tcW w:type="dxa" w:w="1008"/>
          </w:tcPr>
          <w:p>
            <w:pPr>
              <w:spacing w:after="40"/>
              <w:jc w:val="right"/>
            </w:pPr>
            <w:r>
              <w:rPr>
                <w:b/>
                <w:color w:val="2B547E"/>
                <w:sz w:val="20"/>
              </w:rPr>
              <w:t>42</w:t>
            </w:r>
          </w:p>
        </w:tc>
      </w:tr>
      <w:tr>
        <w:tc>
          <w:tcPr>
            <w:tcW w:type="dxa" w:w="8352"/>
          </w:tcPr>
          <w:p>
            <w:pPr>
              <w:spacing w:after="40"/>
            </w:pPr>
            <w:r>
              <w:rPr>
                <w:color w:val="222222"/>
                <w:sz w:val="20"/>
              </w:rPr>
              <w:t xml:space="preserve">   5.4 Évaluation de la Robustesse face aux Bruits Extrêmes et Pertes de Trames</w:t>
            </w:r>
          </w:p>
        </w:tc>
        <w:tc>
          <w:tcPr>
            <w:tcW w:type="dxa" w:w="1008"/>
          </w:tcPr>
          <w:p>
            <w:pPr>
              <w:spacing w:after="40"/>
              <w:jc w:val="right"/>
            </w:pPr>
            <w:r>
              <w:rPr>
                <w:b/>
                <w:color w:val="2B547E"/>
                <w:sz w:val="20"/>
              </w:rPr>
              <w:t>44</w:t>
            </w:r>
          </w:p>
        </w:tc>
      </w:tr>
      <w:tr>
        <w:tc>
          <w:tcPr>
            <w:tcW w:type="dxa" w:w="8352"/>
          </w:tcPr>
          <w:p>
            <w:pPr>
              <w:spacing w:after="40"/>
            </w:pPr>
            <w:r>
              <w:rPr>
                <w:color w:val="222222"/>
                <w:sz w:val="20"/>
              </w:rPr>
              <w:t xml:space="preserve">   5.5 Grille Multicritères d'Aide à la Décision pour le Déploiement Industriel</w:t>
            </w:r>
          </w:p>
        </w:tc>
        <w:tc>
          <w:tcPr>
            <w:tcW w:type="dxa" w:w="1008"/>
          </w:tcPr>
          <w:p>
            <w:pPr>
              <w:spacing w:after="40"/>
              <w:jc w:val="right"/>
            </w:pPr>
            <w:r>
              <w:rPr>
                <w:b/>
                <w:color w:val="2B547E"/>
                <w:sz w:val="20"/>
              </w:rPr>
              <w:t>45</w:t>
            </w:r>
          </w:p>
        </w:tc>
      </w:tr>
      <w:tr>
        <w:tc>
          <w:tcPr>
            <w:tcW w:type="dxa" w:w="8352"/>
          </w:tcPr>
          <w:p>
            <w:pPr>
              <w:spacing w:after="40"/>
            </w:pPr>
            <w:r>
              <w:rPr>
                <w:b/>
                <w:color w:val="1B365D"/>
                <w:sz w:val="20"/>
              </w:rPr>
              <w:t>Chapitre 6 : Module d'Explicabilité Industrielle (XAI)</w:t>
            </w:r>
          </w:p>
        </w:tc>
        <w:tc>
          <w:tcPr>
            <w:tcW w:type="dxa" w:w="1008"/>
          </w:tcPr>
          <w:p>
            <w:pPr>
              <w:spacing w:after="40"/>
              <w:jc w:val="right"/>
            </w:pPr>
            <w:r>
              <w:rPr>
                <w:b/>
                <w:color w:val="2B547E"/>
                <w:sz w:val="20"/>
              </w:rPr>
              <w:t>47</w:t>
            </w:r>
          </w:p>
        </w:tc>
      </w:tr>
      <w:tr>
        <w:tc>
          <w:tcPr>
            <w:tcW w:type="dxa" w:w="8352"/>
          </w:tcPr>
          <w:p>
            <w:pPr>
              <w:spacing w:after="40"/>
            </w:pPr>
            <w:r>
              <w:rPr>
                <w:color w:val="222222"/>
                <w:sz w:val="20"/>
              </w:rPr>
              <w:t xml:space="preserve">   6.1 Problématique de la Boîte Noire et Acceptabilité par les Opérateurs Usine</w:t>
            </w:r>
          </w:p>
        </w:tc>
        <w:tc>
          <w:tcPr>
            <w:tcW w:type="dxa" w:w="1008"/>
          </w:tcPr>
          <w:p>
            <w:pPr>
              <w:spacing w:after="40"/>
              <w:jc w:val="right"/>
            </w:pPr>
            <w:r>
              <w:rPr>
                <w:b/>
                <w:color w:val="2B547E"/>
                <w:sz w:val="20"/>
              </w:rPr>
              <w:t>47</w:t>
            </w:r>
          </w:p>
        </w:tc>
      </w:tr>
      <w:tr>
        <w:tc>
          <w:tcPr>
            <w:tcW w:type="dxa" w:w="8352"/>
          </w:tcPr>
          <w:p>
            <w:pPr>
              <w:spacing w:after="40"/>
            </w:pPr>
            <w:r>
              <w:rPr>
                <w:color w:val="222222"/>
                <w:sz w:val="20"/>
              </w:rPr>
              <w:t xml:space="preserve">   6.2 Analyse de l'Importance Globale et Locale des Variables Vibratoires</w:t>
            </w:r>
          </w:p>
        </w:tc>
        <w:tc>
          <w:tcPr>
            <w:tcW w:type="dxa" w:w="1008"/>
          </w:tcPr>
          <w:p>
            <w:pPr>
              <w:spacing w:after="40"/>
              <w:jc w:val="right"/>
            </w:pPr>
            <w:r>
              <w:rPr>
                <w:b/>
                <w:color w:val="2B547E"/>
                <w:sz w:val="20"/>
              </w:rPr>
              <w:t>48</w:t>
            </w:r>
          </w:p>
        </w:tc>
      </w:tr>
      <w:tr>
        <w:tc>
          <w:tcPr>
            <w:tcW w:type="dxa" w:w="8352"/>
          </w:tcPr>
          <w:p>
            <w:pPr>
              <w:spacing w:after="40"/>
            </w:pPr>
            <w:r>
              <w:rPr>
                <w:color w:val="222222"/>
                <w:sz w:val="20"/>
              </w:rPr>
              <w:t xml:space="preserve">   6.3 Approche Différentielle par Z-Scores par rapport à l'État Sain de Référence</w:t>
            </w:r>
          </w:p>
        </w:tc>
        <w:tc>
          <w:tcPr>
            <w:tcW w:type="dxa" w:w="1008"/>
          </w:tcPr>
          <w:p>
            <w:pPr>
              <w:spacing w:after="40"/>
              <w:jc w:val="right"/>
            </w:pPr>
            <w:r>
              <w:rPr>
                <w:b/>
                <w:color w:val="2B547E"/>
                <w:sz w:val="20"/>
              </w:rPr>
              <w:t>49</w:t>
            </w:r>
          </w:p>
        </w:tc>
      </w:tr>
      <w:tr>
        <w:tc>
          <w:tcPr>
            <w:tcW w:type="dxa" w:w="8352"/>
          </w:tcPr>
          <w:p>
            <w:pPr>
              <w:spacing w:after="40"/>
            </w:pPr>
            <w:r>
              <w:rPr>
                <w:color w:val="222222"/>
                <w:sz w:val="20"/>
              </w:rPr>
              <w:t xml:space="preserve">   6.4 Corrélation Physique des Signatures de Chocs (Kurtosis et Facteur de Crête)</w:t>
            </w:r>
          </w:p>
        </w:tc>
        <w:tc>
          <w:tcPr>
            <w:tcW w:type="dxa" w:w="1008"/>
          </w:tcPr>
          <w:p>
            <w:pPr>
              <w:spacing w:after="40"/>
              <w:jc w:val="right"/>
            </w:pPr>
            <w:r>
              <w:rPr>
                <w:b/>
                <w:color w:val="2B547E"/>
                <w:sz w:val="20"/>
              </w:rPr>
              <w:t>50</w:t>
            </w:r>
          </w:p>
        </w:tc>
      </w:tr>
      <w:tr>
        <w:tc>
          <w:tcPr>
            <w:tcW w:type="dxa" w:w="8352"/>
          </w:tcPr>
          <w:p>
            <w:pPr>
              <w:spacing w:after="40"/>
            </w:pPr>
            <w:r>
              <w:rPr>
                <w:color w:val="222222"/>
                <w:sz w:val="20"/>
              </w:rPr>
              <w:t xml:space="preserve">   6.5 Détection des Profils d'Anomalie par l'Erreur de Reconstruction de l'Autoencodeur</w:t>
            </w:r>
          </w:p>
        </w:tc>
        <w:tc>
          <w:tcPr>
            <w:tcW w:type="dxa" w:w="1008"/>
          </w:tcPr>
          <w:p>
            <w:pPr>
              <w:spacing w:after="40"/>
              <w:jc w:val="right"/>
            </w:pPr>
            <w:r>
              <w:rPr>
                <w:b/>
                <w:color w:val="2B547E"/>
                <w:sz w:val="20"/>
              </w:rPr>
              <w:t>51</w:t>
            </w:r>
          </w:p>
        </w:tc>
      </w:tr>
      <w:tr>
        <w:tc>
          <w:tcPr>
            <w:tcW w:type="dxa" w:w="8352"/>
          </w:tcPr>
          <w:p>
            <w:pPr>
              <w:spacing w:after="40"/>
            </w:pPr>
            <w:r>
              <w:rPr>
                <w:b/>
                <w:color w:val="1B365D"/>
                <w:sz w:val="20"/>
              </w:rPr>
              <w:t>Chapitre 7 : Agent IA / RAG &amp; Génération Automatique de Diagnostics</w:t>
            </w:r>
          </w:p>
        </w:tc>
        <w:tc>
          <w:tcPr>
            <w:tcW w:type="dxa" w:w="1008"/>
          </w:tcPr>
          <w:p>
            <w:pPr>
              <w:spacing w:after="40"/>
              <w:jc w:val="right"/>
            </w:pPr>
            <w:r>
              <w:rPr>
                <w:b/>
                <w:color w:val="2B547E"/>
                <w:sz w:val="20"/>
              </w:rPr>
              <w:t>53</w:t>
            </w:r>
          </w:p>
        </w:tc>
      </w:tr>
      <w:tr>
        <w:tc>
          <w:tcPr>
            <w:tcW w:type="dxa" w:w="8352"/>
          </w:tcPr>
          <w:p>
            <w:pPr>
              <w:spacing w:after="40"/>
            </w:pPr>
            <w:r>
              <w:rPr>
                <w:color w:val="222222"/>
                <w:sz w:val="20"/>
              </w:rPr>
              <w:t xml:space="preserve">   7.1 Architecture Fonctionnelle de l'Agent RAG (Retrieval-Augmented Generation)</w:t>
            </w:r>
          </w:p>
        </w:tc>
        <w:tc>
          <w:tcPr>
            <w:tcW w:type="dxa" w:w="1008"/>
          </w:tcPr>
          <w:p>
            <w:pPr>
              <w:spacing w:after="40"/>
              <w:jc w:val="right"/>
            </w:pPr>
            <w:r>
              <w:rPr>
                <w:b/>
                <w:color w:val="2B547E"/>
                <w:sz w:val="20"/>
              </w:rPr>
              <w:t>53</w:t>
            </w:r>
          </w:p>
        </w:tc>
      </w:tr>
      <w:tr>
        <w:tc>
          <w:tcPr>
            <w:tcW w:type="dxa" w:w="8352"/>
          </w:tcPr>
          <w:p>
            <w:pPr>
              <w:spacing w:after="40"/>
            </w:pPr>
            <w:r>
              <w:rPr>
                <w:color w:val="222222"/>
                <w:sz w:val="20"/>
              </w:rPr>
              <w:t xml:space="preserve">   7.2 Constitution et Organisation de la Base de Connaissances Technique (D1 à D11)</w:t>
            </w:r>
          </w:p>
        </w:tc>
        <w:tc>
          <w:tcPr>
            <w:tcW w:type="dxa" w:w="1008"/>
          </w:tcPr>
          <w:p>
            <w:pPr>
              <w:spacing w:after="40"/>
              <w:jc w:val="right"/>
            </w:pPr>
            <w:r>
              <w:rPr>
                <w:b/>
                <w:color w:val="2B547E"/>
                <w:sz w:val="20"/>
              </w:rPr>
              <w:t>54</w:t>
            </w:r>
          </w:p>
        </w:tc>
      </w:tr>
      <w:tr>
        <w:tc>
          <w:tcPr>
            <w:tcW w:type="dxa" w:w="8352"/>
          </w:tcPr>
          <w:p>
            <w:pPr>
              <w:spacing w:after="40"/>
            </w:pPr>
            <w:r>
              <w:rPr>
                <w:color w:val="222222"/>
                <w:sz w:val="20"/>
              </w:rPr>
              <w:t xml:space="preserve">   7.3 Indexation Sémantique Vectorielle et Calcul de Similarité Cosinus</w:t>
            </w:r>
          </w:p>
        </w:tc>
        <w:tc>
          <w:tcPr>
            <w:tcW w:type="dxa" w:w="1008"/>
          </w:tcPr>
          <w:p>
            <w:pPr>
              <w:spacing w:after="40"/>
              <w:jc w:val="right"/>
            </w:pPr>
            <w:r>
              <w:rPr>
                <w:b/>
                <w:color w:val="2B547E"/>
                <w:sz w:val="20"/>
              </w:rPr>
              <w:t>55</w:t>
            </w:r>
          </w:p>
        </w:tc>
      </w:tr>
      <w:tr>
        <w:tc>
          <w:tcPr>
            <w:tcW w:type="dxa" w:w="8352"/>
          </w:tcPr>
          <w:p>
            <w:pPr>
              <w:spacing w:after="40"/>
            </w:pPr>
            <w:r>
              <w:rPr>
                <w:color w:val="222222"/>
                <w:sz w:val="20"/>
              </w:rPr>
              <w:t xml:space="preserve">   7.4 Moteur Conversationnel Expert et Contextualisation des Prédictions Edge</w:t>
            </w:r>
          </w:p>
        </w:tc>
        <w:tc>
          <w:tcPr>
            <w:tcW w:type="dxa" w:w="1008"/>
          </w:tcPr>
          <w:p>
            <w:pPr>
              <w:spacing w:after="40"/>
              <w:jc w:val="right"/>
            </w:pPr>
            <w:r>
              <w:rPr>
                <w:b/>
                <w:color w:val="2B547E"/>
                <w:sz w:val="20"/>
              </w:rPr>
              <w:t>56</w:t>
            </w:r>
          </w:p>
        </w:tc>
      </w:tr>
      <w:tr>
        <w:tc>
          <w:tcPr>
            <w:tcW w:type="dxa" w:w="8352"/>
          </w:tcPr>
          <w:p>
            <w:pPr>
              <w:spacing w:after="40"/>
            </w:pPr>
            <w:r>
              <w:rPr>
                <w:color w:val="222222"/>
                <w:sz w:val="20"/>
              </w:rPr>
              <w:t xml:space="preserve">   7.5 Générateur Automatisé de Fiches d'Intervention Technique et Protocoles LOTO</w:t>
            </w:r>
          </w:p>
        </w:tc>
        <w:tc>
          <w:tcPr>
            <w:tcW w:type="dxa" w:w="1008"/>
          </w:tcPr>
          <w:p>
            <w:pPr>
              <w:spacing w:after="40"/>
              <w:jc w:val="right"/>
            </w:pPr>
            <w:r>
              <w:rPr>
                <w:b/>
                <w:color w:val="2B547E"/>
                <w:sz w:val="20"/>
              </w:rPr>
              <w:t>57</w:t>
            </w:r>
          </w:p>
        </w:tc>
      </w:tr>
      <w:tr>
        <w:tc>
          <w:tcPr>
            <w:tcW w:type="dxa" w:w="8352"/>
          </w:tcPr>
          <w:p>
            <w:pPr>
              <w:spacing w:after="40"/>
            </w:pPr>
            <w:r>
              <w:rPr>
                <w:b/>
                <w:color w:val="1B365D"/>
                <w:sz w:val="20"/>
              </w:rPr>
              <w:t>Chapitre 8 : Architecture Logicielle Full-Stack, Interface Web &amp; Validation Système</w:t>
            </w:r>
          </w:p>
        </w:tc>
        <w:tc>
          <w:tcPr>
            <w:tcW w:type="dxa" w:w="1008"/>
          </w:tcPr>
          <w:p>
            <w:pPr>
              <w:spacing w:after="40"/>
              <w:jc w:val="right"/>
            </w:pPr>
            <w:r>
              <w:rPr>
                <w:b/>
                <w:color w:val="2B547E"/>
                <w:sz w:val="20"/>
              </w:rPr>
              <w:t>59</w:t>
            </w:r>
          </w:p>
        </w:tc>
      </w:tr>
      <w:tr>
        <w:tc>
          <w:tcPr>
            <w:tcW w:type="dxa" w:w="8352"/>
          </w:tcPr>
          <w:p>
            <w:pPr>
              <w:spacing w:after="40"/>
            </w:pPr>
            <w:r>
              <w:rPr>
                <w:color w:val="222222"/>
                <w:sz w:val="20"/>
              </w:rPr>
              <w:t xml:space="preserve">   8.1 Conception Modulaire et Principes de la Clean Architecture</w:t>
            </w:r>
          </w:p>
        </w:tc>
        <w:tc>
          <w:tcPr>
            <w:tcW w:type="dxa" w:w="1008"/>
          </w:tcPr>
          <w:p>
            <w:pPr>
              <w:spacing w:after="40"/>
              <w:jc w:val="right"/>
            </w:pPr>
            <w:r>
              <w:rPr>
                <w:b/>
                <w:color w:val="2B547E"/>
                <w:sz w:val="20"/>
              </w:rPr>
              <w:t>59</w:t>
            </w:r>
          </w:p>
        </w:tc>
      </w:tr>
      <w:tr>
        <w:tc>
          <w:tcPr>
            <w:tcW w:type="dxa" w:w="8352"/>
          </w:tcPr>
          <w:p>
            <w:pPr>
              <w:spacing w:after="40"/>
            </w:pPr>
            <w:r>
              <w:rPr>
                <w:color w:val="222222"/>
                <w:sz w:val="20"/>
              </w:rPr>
              <w:t xml:space="preserve">   8.2 Backend REST Haute Performance avec FastAPI</w:t>
            </w:r>
          </w:p>
        </w:tc>
        <w:tc>
          <w:tcPr>
            <w:tcW w:type="dxa" w:w="1008"/>
          </w:tcPr>
          <w:p>
            <w:pPr>
              <w:spacing w:after="40"/>
              <w:jc w:val="right"/>
            </w:pPr>
            <w:r>
              <w:rPr>
                <w:b/>
                <w:color w:val="2B547E"/>
                <w:sz w:val="20"/>
              </w:rPr>
              <w:t>60</w:t>
            </w:r>
          </w:p>
        </w:tc>
      </w:tr>
      <w:tr>
        <w:tc>
          <w:tcPr>
            <w:tcW w:type="dxa" w:w="8352"/>
          </w:tcPr>
          <w:p>
            <w:pPr>
              <w:spacing w:after="40"/>
            </w:pPr>
            <w:r>
              <w:rPr>
                <w:color w:val="222222"/>
                <w:sz w:val="20"/>
              </w:rPr>
              <w:t xml:space="preserve">   8.3 Dashboard Industriel Temps Réel Développé sous React et Vite</w:t>
            </w:r>
          </w:p>
        </w:tc>
        <w:tc>
          <w:tcPr>
            <w:tcW w:type="dxa" w:w="1008"/>
          </w:tcPr>
          <w:p>
            <w:pPr>
              <w:spacing w:after="40"/>
              <w:jc w:val="right"/>
            </w:pPr>
            <w:r>
              <w:rPr>
                <w:b/>
                <w:color w:val="2B547E"/>
                <w:sz w:val="20"/>
              </w:rPr>
              <w:t>61</w:t>
            </w:r>
          </w:p>
        </w:tc>
      </w:tr>
      <w:tr>
        <w:tc>
          <w:tcPr>
            <w:tcW w:type="dxa" w:w="8352"/>
          </w:tcPr>
          <w:p>
            <w:pPr>
              <w:spacing w:after="40"/>
            </w:pPr>
            <w:r>
              <w:rPr>
                <w:color w:val="222222"/>
                <w:sz w:val="20"/>
              </w:rPr>
              <w:t xml:space="preserve">   8.4 Visualisation Dynamique des Signaux Bruts, Spectre FFT et Inférence Multi-Formats</w:t>
            </w:r>
          </w:p>
        </w:tc>
        <w:tc>
          <w:tcPr>
            <w:tcW w:type="dxa" w:w="1008"/>
          </w:tcPr>
          <w:p>
            <w:pPr>
              <w:spacing w:after="40"/>
              <w:jc w:val="right"/>
            </w:pPr>
            <w:r>
              <w:rPr>
                <w:b/>
                <w:color w:val="2B547E"/>
                <w:sz w:val="20"/>
              </w:rPr>
              <w:t>62</w:t>
            </w:r>
          </w:p>
        </w:tc>
      </w:tr>
      <w:tr>
        <w:tc>
          <w:tcPr>
            <w:tcW w:type="dxa" w:w="8352"/>
          </w:tcPr>
          <w:p>
            <w:pPr>
              <w:spacing w:after="40"/>
            </w:pPr>
            <w:r>
              <w:rPr>
                <w:color w:val="222222"/>
                <w:sz w:val="20"/>
              </w:rPr>
              <w:t xml:space="preserve">   8.5 Module d'Exportation Instantanée de Rapports PDF Homologués</w:t>
            </w:r>
          </w:p>
        </w:tc>
        <w:tc>
          <w:tcPr>
            <w:tcW w:type="dxa" w:w="1008"/>
          </w:tcPr>
          <w:p>
            <w:pPr>
              <w:spacing w:after="40"/>
              <w:jc w:val="right"/>
            </w:pPr>
            <w:r>
              <w:rPr>
                <w:b/>
                <w:color w:val="2B547E"/>
                <w:sz w:val="20"/>
              </w:rPr>
              <w:t>63</w:t>
            </w:r>
          </w:p>
        </w:tc>
      </w:tr>
      <w:tr>
        <w:tc>
          <w:tcPr>
            <w:tcW w:type="dxa" w:w="8352"/>
          </w:tcPr>
          <w:p>
            <w:pPr>
              <w:spacing w:after="40"/>
            </w:pPr>
            <w:r>
              <w:rPr>
                <w:color w:val="222222"/>
                <w:sz w:val="20"/>
              </w:rPr>
              <w:t xml:space="preserve">   8.6 Validation d'Intégration Bout-en-Bout du Système Global</w:t>
            </w:r>
          </w:p>
        </w:tc>
        <w:tc>
          <w:tcPr>
            <w:tcW w:type="dxa" w:w="1008"/>
          </w:tcPr>
          <w:p>
            <w:pPr>
              <w:spacing w:after="40"/>
              <w:jc w:val="right"/>
            </w:pPr>
            <w:r>
              <w:rPr>
                <w:b/>
                <w:color w:val="2B547E"/>
                <w:sz w:val="20"/>
              </w:rPr>
              <w:t>64</w:t>
            </w:r>
          </w:p>
        </w:tc>
      </w:tr>
      <w:tr>
        <w:tc>
          <w:tcPr>
            <w:tcW w:type="dxa" w:w="8352"/>
          </w:tcPr>
          <w:p>
            <w:pPr>
              <w:spacing w:after="40"/>
            </w:pPr>
            <w:r>
              <w:rPr>
                <w:b/>
                <w:color w:val="1B365D"/>
                <w:sz w:val="20"/>
              </w:rPr>
              <w:t>Chapitre 9 : Valorisation Pédagogique &amp; Transfert de Compétences</w:t>
            </w:r>
          </w:p>
        </w:tc>
        <w:tc>
          <w:tcPr>
            <w:tcW w:type="dxa" w:w="1008"/>
          </w:tcPr>
          <w:p>
            <w:pPr>
              <w:spacing w:after="40"/>
              <w:jc w:val="right"/>
            </w:pPr>
            <w:r>
              <w:rPr>
                <w:b/>
                <w:color w:val="2B547E"/>
                <w:sz w:val="20"/>
              </w:rPr>
              <w:t>66</w:t>
            </w:r>
          </w:p>
        </w:tc>
      </w:tr>
      <w:tr>
        <w:tc>
          <w:tcPr>
            <w:tcW w:type="dxa" w:w="8352"/>
          </w:tcPr>
          <w:p>
            <w:pPr>
              <w:spacing w:after="40"/>
            </w:pPr>
            <w:r>
              <w:rPr>
                <w:color w:val="222222"/>
                <w:sz w:val="20"/>
              </w:rPr>
              <w:t xml:space="preserve">   9.1 Scénarisation d'un Cas d'Étude Pédagogique de 16 Heures pour Élèves-Ingénieurs</w:t>
            </w:r>
          </w:p>
        </w:tc>
        <w:tc>
          <w:tcPr>
            <w:tcW w:type="dxa" w:w="1008"/>
          </w:tcPr>
          <w:p>
            <w:pPr>
              <w:spacing w:after="40"/>
              <w:jc w:val="right"/>
            </w:pPr>
            <w:r>
              <w:rPr>
                <w:b/>
                <w:color w:val="2B547E"/>
                <w:sz w:val="20"/>
              </w:rPr>
              <w:t>66</w:t>
            </w:r>
          </w:p>
        </w:tc>
      </w:tr>
      <w:tr>
        <w:tc>
          <w:tcPr>
            <w:tcW w:type="dxa" w:w="8352"/>
          </w:tcPr>
          <w:p>
            <w:pPr>
              <w:spacing w:after="40"/>
            </w:pPr>
            <w:r>
              <w:rPr>
                <w:color w:val="222222"/>
                <w:sz w:val="20"/>
              </w:rPr>
              <w:t xml:space="preserve">   9.2 Déroulement Structuré des 12 Séances de Travaux Pratiques</w:t>
            </w:r>
          </w:p>
        </w:tc>
        <w:tc>
          <w:tcPr>
            <w:tcW w:type="dxa" w:w="1008"/>
          </w:tcPr>
          <w:p>
            <w:pPr>
              <w:spacing w:after="40"/>
              <w:jc w:val="right"/>
            </w:pPr>
            <w:r>
              <w:rPr>
                <w:b/>
                <w:color w:val="2B547E"/>
                <w:sz w:val="20"/>
              </w:rPr>
              <w:t>67</w:t>
            </w:r>
          </w:p>
        </w:tc>
      </w:tr>
      <w:tr>
        <w:tc>
          <w:tcPr>
            <w:tcW w:type="dxa" w:w="8352"/>
          </w:tcPr>
          <w:p>
            <w:pPr>
              <w:spacing w:after="40"/>
            </w:pPr>
            <w:r>
              <w:rPr>
                <w:color w:val="222222"/>
                <w:sz w:val="20"/>
              </w:rPr>
              <w:t xml:space="preserve">   9.3 Grille d'Évaluation Sommative Détaillée et Barème sur 20 Points</w:t>
            </w:r>
          </w:p>
        </w:tc>
        <w:tc>
          <w:tcPr>
            <w:tcW w:type="dxa" w:w="1008"/>
          </w:tcPr>
          <w:p>
            <w:pPr>
              <w:spacing w:after="40"/>
              <w:jc w:val="right"/>
            </w:pPr>
            <w:r>
              <w:rPr>
                <w:b/>
                <w:color w:val="2B547E"/>
                <w:sz w:val="20"/>
              </w:rPr>
              <w:t>68</w:t>
            </w:r>
          </w:p>
        </w:tc>
      </w:tr>
      <w:tr>
        <w:tc>
          <w:tcPr>
            <w:tcW w:type="dxa" w:w="8352"/>
          </w:tcPr>
          <w:p>
            <w:pPr>
              <w:spacing w:after="40"/>
            </w:pPr>
            <w:r>
              <w:rPr>
                <w:b/>
                <w:color w:val="1B365D"/>
                <w:sz w:val="20"/>
              </w:rPr>
              <w:t>Conclusion Générale &amp; Perspectives d'Avenir</w:t>
            </w:r>
          </w:p>
        </w:tc>
        <w:tc>
          <w:tcPr>
            <w:tcW w:type="dxa" w:w="1008"/>
          </w:tcPr>
          <w:p>
            <w:pPr>
              <w:spacing w:after="40"/>
              <w:jc w:val="right"/>
            </w:pPr>
            <w:r>
              <w:rPr>
                <w:b/>
                <w:color w:val="2B547E"/>
                <w:sz w:val="20"/>
              </w:rPr>
              <w:t>70</w:t>
            </w:r>
          </w:p>
        </w:tc>
      </w:tr>
      <w:tr>
        <w:tc>
          <w:tcPr>
            <w:tcW w:type="dxa" w:w="8352"/>
          </w:tcPr>
          <w:p>
            <w:pPr>
              <w:spacing w:after="40"/>
            </w:pPr>
            <w:r>
              <w:rPr>
                <w:b/>
                <w:color w:val="1B365D"/>
                <w:sz w:val="20"/>
              </w:rPr>
              <w:t>Références Bibliographiques (Norme IEEE)</w:t>
            </w:r>
          </w:p>
        </w:tc>
        <w:tc>
          <w:tcPr>
            <w:tcW w:type="dxa" w:w="1008"/>
          </w:tcPr>
          <w:p>
            <w:pPr>
              <w:spacing w:after="40"/>
              <w:jc w:val="right"/>
            </w:pPr>
            <w:r>
              <w:rPr>
                <w:b/>
                <w:color w:val="2B547E"/>
                <w:sz w:val="20"/>
              </w:rPr>
              <w:t>73</w:t>
            </w:r>
          </w:p>
        </w:tc>
      </w:tr>
      <w:tr>
        <w:tc>
          <w:tcPr>
            <w:tcW w:type="dxa" w:w="8352"/>
          </w:tcPr>
          <w:p>
            <w:pPr>
              <w:spacing w:after="40"/>
            </w:pPr>
            <w:r>
              <w:rPr>
                <w:b/>
                <w:color w:val="1B365D"/>
                <w:sz w:val="20"/>
              </w:rPr>
              <w:t>Annexes</w:t>
            </w:r>
          </w:p>
        </w:tc>
        <w:tc>
          <w:tcPr>
            <w:tcW w:type="dxa" w:w="1008"/>
          </w:tcPr>
          <w:p>
            <w:pPr>
              <w:spacing w:after="40"/>
              <w:jc w:val="right"/>
            </w:pPr>
            <w:r>
              <w:rPr>
                <w:b/>
                <w:color w:val="2B547E"/>
                <w:sz w:val="20"/>
              </w:rPr>
              <w:t>77</w:t>
            </w:r>
          </w:p>
        </w:tc>
      </w:tr>
      <w:tr>
        <w:tc>
          <w:tcPr>
            <w:tcW w:type="dxa" w:w="8352"/>
          </w:tcPr>
          <w:p>
            <w:pPr>
              <w:spacing w:after="40"/>
            </w:pPr>
            <w:r>
              <w:rPr>
                <w:color w:val="222222"/>
                <w:sz w:val="20"/>
              </w:rPr>
              <w:t xml:space="preserve">   Annexe A : Fiche Technique du Roulement SKF 6205-2RS</w:t>
            </w:r>
          </w:p>
        </w:tc>
        <w:tc>
          <w:tcPr>
            <w:tcW w:type="dxa" w:w="1008"/>
          </w:tcPr>
          <w:p>
            <w:pPr>
              <w:spacing w:after="40"/>
              <w:jc w:val="right"/>
            </w:pPr>
            <w:r>
              <w:rPr>
                <w:b/>
                <w:color w:val="2B547E"/>
                <w:sz w:val="20"/>
              </w:rPr>
              <w:t>77</w:t>
            </w:r>
          </w:p>
        </w:tc>
      </w:tr>
      <w:tr>
        <w:tc>
          <w:tcPr>
            <w:tcW w:type="dxa" w:w="8352"/>
          </w:tcPr>
          <w:p>
            <w:pPr>
              <w:spacing w:after="40"/>
            </w:pPr>
            <w:r>
              <w:rPr>
                <w:color w:val="222222"/>
                <w:sz w:val="20"/>
              </w:rPr>
              <w:t xml:space="preserve">   Annexe B : Échantillon de Logs de Streaming Inférence IoT</w:t>
            </w:r>
          </w:p>
        </w:tc>
        <w:tc>
          <w:tcPr>
            <w:tcW w:type="dxa" w:w="1008"/>
          </w:tcPr>
          <w:p>
            <w:pPr>
              <w:spacing w:after="40"/>
              <w:jc w:val="right"/>
            </w:pPr>
            <w:r>
              <w:rPr>
                <w:b/>
                <w:color w:val="2B547E"/>
                <w:sz w:val="20"/>
              </w:rPr>
              <w:t>78</w:t>
            </w:r>
          </w:p>
        </w:tc>
      </w:tr>
      <w:tr>
        <w:tc>
          <w:tcPr>
            <w:tcW w:type="dxa" w:w="8352"/>
          </w:tcPr>
          <w:p>
            <w:pPr>
              <w:spacing w:after="40"/>
            </w:pPr>
            <w:r>
              <w:rPr>
                <w:color w:val="222222"/>
                <w:sz w:val="20"/>
              </w:rPr>
              <w:t xml:space="preserve">   Annexe C : Extraits du Code Source des Modules Clés</w:t>
            </w:r>
          </w:p>
        </w:tc>
        <w:tc>
          <w:tcPr>
            <w:tcW w:type="dxa" w:w="1008"/>
          </w:tcPr>
          <w:p>
            <w:pPr>
              <w:spacing w:after="40"/>
              <w:jc w:val="right"/>
            </w:pPr>
            <w:r>
              <w:rPr>
                <w:b/>
                <w:color w:val="2B547E"/>
                <w:sz w:val="20"/>
              </w:rPr>
              <w:t>79</w:t>
            </w:r>
          </w:p>
        </w:tc>
      </w:tr>
    </w:tbl>
    <w:p>
      <w:r>
        <w:br w:type="page"/>
      </w:r>
    </w:p>
    <w:p>
      <w:pPr>
        <w:keepNext/>
        <w:spacing w:before="280" w:after="160"/>
      </w:pPr>
      <w:r>
        <w:rPr>
          <w:rFonts w:ascii="Calibri" w:hAnsi="Calibri"/>
          <w:b/>
          <w:color w:val="1B365D"/>
          <w:sz w:val="34"/>
        </w:rPr>
        <w:t>Listes des Figures &amp; des Tableaux</w:t>
      </w:r>
    </w:p>
    <w:p>
      <w:pPr>
        <w:keepNext/>
        <w:spacing w:before="240" w:after="80"/>
      </w:pPr>
      <w:r>
        <w:rPr>
          <w:rFonts w:ascii="Calibri" w:hAnsi="Calibri"/>
          <w:b/>
          <w:color w:val="2B547E"/>
          <w:sz w:val="27"/>
        </w:rPr>
        <w:t>Liste des Figures</w:t>
      </w:r>
    </w:p>
    <w:p>
      <w:pPr>
        <w:spacing w:after="60"/>
      </w:pPr>
      <w:r>
        <w:rPr>
          <w:b/>
          <w:color w:val="1B365D"/>
        </w:rPr>
        <w:t xml:space="preserve">Figure 01 : </w:t>
      </w:r>
      <w:r>
        <w:rPr>
          <w:color w:val="222222"/>
        </w:rPr>
        <w:t>Signaux vibratoires bruts CWRU dans le domaine temporel (Normal, BPFI, BPFO, BSF)</w:t>
      </w:r>
    </w:p>
    <w:p>
      <w:pPr>
        <w:spacing w:after="60"/>
      </w:pPr>
      <w:r>
        <w:rPr>
          <w:b/>
          <w:color w:val="1B365D"/>
        </w:rPr>
        <w:t xml:space="preserve">Figure 02 : </w:t>
      </w:r>
      <w:r>
        <w:rPr>
          <w:color w:val="222222"/>
        </w:rPr>
        <w:t>Comparaison des signaux sous perturbations hybrides (bruit gaussien SNR, dérive, pertes)</w:t>
      </w:r>
    </w:p>
    <w:p>
      <w:pPr>
        <w:spacing w:after="60"/>
      </w:pPr>
      <w:r>
        <w:rPr>
          <w:b/>
          <w:color w:val="1B365D"/>
        </w:rPr>
        <w:t xml:space="preserve">Figure 03 : </w:t>
      </w:r>
      <w:r>
        <w:rPr>
          <w:color w:val="222222"/>
        </w:rPr>
        <w:t>Illustration méthodologique du fenêtrage glissant (fenêtre 1024 points, chevauchement 50 %)</w:t>
      </w:r>
    </w:p>
    <w:p>
      <w:pPr>
        <w:spacing w:after="60"/>
      </w:pPr>
      <w:r>
        <w:rPr>
          <w:b/>
          <w:color w:val="1B365D"/>
        </w:rPr>
        <w:t xml:space="preserve">Figure 04 : </w:t>
      </w:r>
      <w:r>
        <w:rPr>
          <w:color w:val="222222"/>
        </w:rPr>
        <w:t>Matrices de confusion comparatives des 5 modèles IA (Nominal vs Perturbé)</w:t>
      </w:r>
    </w:p>
    <w:p>
      <w:pPr>
        <w:spacing w:after="60"/>
      </w:pPr>
      <w:r>
        <w:rPr>
          <w:b/>
          <w:color w:val="1B365D"/>
        </w:rPr>
        <w:t xml:space="preserve">Figure 05 : </w:t>
      </w:r>
      <w:r>
        <w:rPr>
          <w:color w:val="222222"/>
        </w:rPr>
        <w:t>Courbes ROC et scores AUC comparatifs des classifieurs</w:t>
      </w:r>
    </w:p>
    <w:p>
      <w:pPr>
        <w:spacing w:after="60"/>
      </w:pPr>
      <w:r>
        <w:rPr>
          <w:b/>
          <w:color w:val="1B365D"/>
        </w:rPr>
        <w:t xml:space="preserve">Figure 06 : </w:t>
      </w:r>
      <w:r>
        <w:rPr>
          <w:color w:val="222222"/>
        </w:rPr>
        <w:t>Analyse globale d'importance des variables vibratoires (Feature Importance)</w:t>
      </w:r>
    </w:p>
    <w:p>
      <w:pPr>
        <w:spacing w:after="60"/>
      </w:pPr>
      <w:r>
        <w:rPr>
          <w:b/>
          <w:color w:val="1B365D"/>
        </w:rPr>
        <w:t xml:space="preserve">Figure 07 : </w:t>
      </w:r>
      <w:r>
        <w:rPr>
          <w:color w:val="222222"/>
        </w:rPr>
        <w:t>Explication locale XAI et distribution des Z-scores par rapport à l'état sain</w:t>
      </w:r>
    </w:p>
    <w:p>
      <w:pPr>
        <w:spacing w:after="60"/>
      </w:pPr>
      <w:r>
        <w:rPr>
          <w:b/>
          <w:color w:val="1B365D"/>
        </w:rPr>
        <w:t xml:space="preserve">Figure 08 : </w:t>
      </w:r>
      <w:r>
        <w:rPr>
          <w:color w:val="222222"/>
        </w:rPr>
        <w:t>Reconstruction du signal et seuil d'erreur MSE par l'Autoencodeur PyTorch</w:t>
      </w:r>
    </w:p>
    <w:p>
      <w:pPr>
        <w:spacing w:after="60"/>
      </w:pPr>
      <w:r>
        <w:rPr>
          <w:b/>
          <w:color w:val="1B365D"/>
        </w:rPr>
        <w:t xml:space="preserve">Figure 09 : </w:t>
      </w:r>
      <w:r>
        <w:rPr>
          <w:color w:val="222222"/>
        </w:rPr>
        <w:t>Compromis de performance Edge AI : Latence d'inférence (ms) vs F1-score</w:t>
      </w:r>
    </w:p>
    <w:p>
      <w:pPr>
        <w:spacing w:after="60"/>
      </w:pPr>
      <w:r>
        <w:rPr>
          <w:b/>
          <w:color w:val="1B365D"/>
        </w:rPr>
        <w:t xml:space="preserve">Figure 10 : </w:t>
      </w:r>
      <w:r>
        <w:rPr>
          <w:color w:val="222222"/>
        </w:rPr>
        <w:t>Empreinte mémoire RAM opérationnelle vs Taille physique des fichiers modèles</w:t>
      </w:r>
    </w:p>
    <w:p>
      <w:pPr>
        <w:spacing w:after="60"/>
      </w:pPr>
      <w:r>
        <w:rPr>
          <w:b/>
          <w:color w:val="1B365D"/>
        </w:rPr>
        <w:t xml:space="preserve">Figure 11 : </w:t>
      </w:r>
      <w:r>
        <w:rPr>
          <w:color w:val="222222"/>
        </w:rPr>
        <w:t>Architecture générale de la chaîne bout-en-bout Edge AI, RAG et Dashboard Full-Stack</w:t>
      </w:r>
    </w:p>
    <w:p>
      <w:pPr>
        <w:spacing w:after="160"/>
      </w:pPr>
    </w:p>
    <w:p>
      <w:pPr>
        <w:keepNext/>
        <w:spacing w:before="240" w:after="80"/>
      </w:pPr>
      <w:r>
        <w:rPr>
          <w:rFonts w:ascii="Calibri" w:hAnsi="Calibri"/>
          <w:b/>
          <w:color w:val="2B547E"/>
          <w:sz w:val="27"/>
        </w:rPr>
        <w:t>Liste des Tableaux</w:t>
      </w:r>
    </w:p>
    <w:p>
      <w:pPr>
        <w:spacing w:after="60"/>
      </w:pPr>
      <w:r>
        <w:rPr>
          <w:b/>
          <w:color w:val="2B547E"/>
        </w:rPr>
        <w:t xml:space="preserve">Tableau 01 : </w:t>
      </w:r>
      <w:r>
        <w:rPr>
          <w:color w:val="222222"/>
        </w:rPr>
        <w:t>Matrice de conformité des 17 livrables de stage (L1 à L17)</w:t>
      </w:r>
    </w:p>
    <w:p>
      <w:pPr>
        <w:spacing w:after="60"/>
      </w:pPr>
      <w:r>
        <w:rPr>
          <w:b/>
          <w:color w:val="2B547E"/>
        </w:rPr>
        <w:t xml:space="preserve">Tableau 02 : </w:t>
      </w:r>
      <w:r>
        <w:rPr>
          <w:color w:val="222222"/>
        </w:rPr>
        <w:t>Analyse comparative des datasets vibratoires publics de référence</w:t>
      </w:r>
    </w:p>
    <w:p>
      <w:pPr>
        <w:spacing w:after="60"/>
      </w:pPr>
      <w:r>
        <w:rPr>
          <w:b/>
          <w:color w:val="2B547E"/>
        </w:rPr>
        <w:t xml:space="preserve">Tableau 03 : </w:t>
      </w:r>
      <w:r>
        <w:rPr>
          <w:color w:val="222222"/>
        </w:rPr>
        <w:t>Caractéristiques physiques et fréquences cinématiques du roulement SKF 6205-2RS</w:t>
      </w:r>
    </w:p>
    <w:p>
      <w:pPr>
        <w:spacing w:after="60"/>
      </w:pPr>
      <w:r>
        <w:rPr>
          <w:b/>
          <w:color w:val="2B547E"/>
        </w:rPr>
        <w:t xml:space="preserve">Tableau 04 : </w:t>
      </w:r>
      <w:r>
        <w:rPr>
          <w:color w:val="222222"/>
        </w:rPr>
        <w:t>Seuils vibratoires globaux selon la norme internationale ISO 10816-3</w:t>
      </w:r>
    </w:p>
    <w:p>
      <w:pPr>
        <w:spacing w:after="60"/>
      </w:pPr>
      <w:r>
        <w:rPr>
          <w:b/>
          <w:color w:val="2B547E"/>
        </w:rPr>
        <w:t xml:space="preserve">Tableau 05 : </w:t>
      </w:r>
      <w:r>
        <w:rPr>
          <w:color w:val="222222"/>
        </w:rPr>
        <w:t>Formulation mathématique et interprétation des 16 indicateurs physiques extraits</w:t>
      </w:r>
    </w:p>
    <w:p>
      <w:pPr>
        <w:spacing w:after="60"/>
      </w:pPr>
      <w:r>
        <w:rPr>
          <w:b/>
          <w:color w:val="2B547E"/>
        </w:rPr>
        <w:t xml:space="preserve">Tableau 06 : </w:t>
      </w:r>
      <w:r>
        <w:rPr>
          <w:color w:val="222222"/>
        </w:rPr>
        <w:t>Hyperparamètres optimaux d'entraînement des 5 architectures IA</w:t>
      </w:r>
    </w:p>
    <w:p>
      <w:pPr>
        <w:spacing w:after="60"/>
      </w:pPr>
      <w:r>
        <w:rPr>
          <w:b/>
          <w:color w:val="2B547E"/>
        </w:rPr>
        <w:t xml:space="preserve">Tableau 07 : </w:t>
      </w:r>
      <w:r>
        <w:rPr>
          <w:color w:val="222222"/>
        </w:rPr>
        <w:t>Évaluation comparative des métriques de détection en régime nominal</w:t>
      </w:r>
    </w:p>
    <w:p>
      <w:pPr>
        <w:spacing w:after="60"/>
      </w:pPr>
      <w:r>
        <w:rPr>
          <w:b/>
          <w:color w:val="2B547E"/>
        </w:rPr>
        <w:t xml:space="preserve">Tableau 08 : </w:t>
      </w:r>
      <w:r>
        <w:rPr>
          <w:color w:val="222222"/>
        </w:rPr>
        <w:t>Évaluation de la résilience et du F1-Score sous différents régimes de bruit gaussien</w:t>
      </w:r>
    </w:p>
    <w:p>
      <w:pPr>
        <w:spacing w:after="60"/>
      </w:pPr>
      <w:r>
        <w:rPr>
          <w:b/>
          <w:color w:val="2B547E"/>
        </w:rPr>
        <w:t xml:space="preserve">Tableau 09 : </w:t>
      </w:r>
      <w:r>
        <w:rPr>
          <w:color w:val="222222"/>
        </w:rPr>
        <w:t>Résultats exhaustifs du profilage matériel sur nano-calculateur Raspberry Pi 4</w:t>
      </w:r>
    </w:p>
    <w:p>
      <w:pPr>
        <w:spacing w:after="60"/>
      </w:pPr>
      <w:r>
        <w:rPr>
          <w:b/>
          <w:color w:val="2B547E"/>
        </w:rPr>
        <w:t xml:space="preserve">Tableau 10 : </w:t>
      </w:r>
      <w:r>
        <w:rPr>
          <w:color w:val="222222"/>
        </w:rPr>
        <w:t>Matrice de décision multicritères pour le choix du modèle Edge champion</w:t>
      </w:r>
    </w:p>
    <w:p>
      <w:pPr>
        <w:spacing w:after="60"/>
      </w:pPr>
      <w:r>
        <w:rPr>
          <w:b/>
          <w:color w:val="2B547E"/>
        </w:rPr>
        <w:t xml:space="preserve">Tableau 11 : </w:t>
      </w:r>
      <w:r>
        <w:rPr>
          <w:color w:val="222222"/>
        </w:rPr>
        <w:t>Analyse comparative des Z-scores des indicateurs physiques selon le mode de défaut</w:t>
      </w:r>
    </w:p>
    <w:p>
      <w:pPr>
        <w:spacing w:after="60"/>
      </w:pPr>
      <w:r>
        <w:rPr>
          <w:b/>
          <w:color w:val="2B547E"/>
        </w:rPr>
        <w:t xml:space="preserve">Tableau 12 : </w:t>
      </w:r>
      <w:r>
        <w:rPr>
          <w:color w:val="222222"/>
        </w:rPr>
        <w:t>Inventaire structuré de la base de connaissances documentaire RAG (D1 à D11)</w:t>
      </w:r>
    </w:p>
    <w:p>
      <w:pPr>
        <w:spacing w:after="60"/>
      </w:pPr>
      <w:r>
        <w:rPr>
          <w:b/>
          <w:color w:val="2B547E"/>
        </w:rPr>
        <w:t xml:space="preserve">Tableau 13 : </w:t>
      </w:r>
      <w:r>
        <w:rPr>
          <w:color w:val="222222"/>
        </w:rPr>
        <w:t>Matrice de confusion des requêtes et score de similarité cosinus de l'agent RAG</w:t>
      </w:r>
    </w:p>
    <w:p>
      <w:pPr>
        <w:spacing w:after="60"/>
      </w:pPr>
      <w:r>
        <w:rPr>
          <w:b/>
          <w:color w:val="2B547E"/>
        </w:rPr>
        <w:t xml:space="preserve">Tableau 14 : </w:t>
      </w:r>
      <w:r>
        <w:rPr>
          <w:color w:val="222222"/>
        </w:rPr>
        <w:t>Spécification des endpoints de l'API REST FastAPI</w:t>
      </w:r>
    </w:p>
    <w:p>
      <w:pPr>
        <w:spacing w:after="60"/>
      </w:pPr>
      <w:r>
        <w:rPr>
          <w:b/>
          <w:color w:val="2B547E"/>
        </w:rPr>
        <w:t xml:space="preserve">Tableau 15 : </w:t>
      </w:r>
      <w:r>
        <w:rPr>
          <w:color w:val="222222"/>
        </w:rPr>
        <w:t>Plan de déroulement pédagogique des 12 séances de travaux pratiques (16h)</w:t>
      </w:r>
    </w:p>
    <w:p>
      <w:pPr>
        <w:spacing w:after="60"/>
      </w:pPr>
      <w:r>
        <w:rPr>
          <w:b/>
          <w:color w:val="2B547E"/>
        </w:rPr>
        <w:t xml:space="preserve">Tableau 16 : </w:t>
      </w:r>
      <w:r>
        <w:rPr>
          <w:color w:val="222222"/>
        </w:rPr>
        <w:t>Grille d'évaluation sommative du TP ingénieur et barème sur 20 points</w:t>
      </w:r>
    </w:p>
    <w:p>
      <w:r>
        <w:br w:type="page"/>
      </w:r>
    </w:p>
    <w:p>
      <w:pPr>
        <w:keepNext/>
        <w:spacing w:before="280" w:after="160"/>
      </w:pPr>
      <w:r>
        <w:rPr>
          <w:rFonts w:ascii="Calibri" w:hAnsi="Calibri"/>
          <w:b/>
          <w:color w:val="1B365D"/>
          <w:sz w:val="34"/>
        </w:rPr>
        <w:t>Glossaire &amp; Liste des Acronymes</w:t>
      </w:r>
    </w:p>
    <w:tbl>
      <w:tblPr>
        <w:tblW w:type="auto" w:w="0"/>
        <w:jc w:val="center"/>
        <w:tblLayout w:type="fixed"/>
        <w:tblLook w:firstColumn="1" w:firstRow="1" w:lastColumn="0" w:lastRow="0" w:noHBand="0" w:noVBand="1" w:val="04A0"/>
      </w:tblPr>
      <w:tblGrid>
        <w:gridCol w:w="4543"/>
        <w:gridCol w:w="4543"/>
      </w:tblGrid>
      <w:tr>
        <w:trPr>
          <w:tblHeader/>
        </w:trPr>
        <w:tc>
          <w:tcPr>
            <w:tcW w:type="dxa" w:w="2160"/>
            <w:vAlign w:val="center"/>
            <w:shd w:fill="1B365D"/>
          </w:tcPr>
          <w:p>
            <w:pPr>
              <w:spacing w:before="80" w:after="80"/>
              <w:jc w:val="center"/>
            </w:pPr>
            <w:r>
              <w:rPr>
                <w:rFonts w:ascii="Calibri" w:hAnsi="Calibri"/>
                <w:b/>
                <w:color w:val="FFFFFF"/>
                <w:sz w:val="20"/>
              </w:rPr>
              <w:t>Acronyme</w:t>
            </w:r>
          </w:p>
        </w:tc>
        <w:tc>
          <w:tcPr>
            <w:tcW w:type="dxa" w:w="6912"/>
            <w:vAlign w:val="center"/>
            <w:shd w:fill="1B365D"/>
          </w:tcPr>
          <w:p>
            <w:pPr>
              <w:spacing w:before="80" w:after="80"/>
              <w:jc w:val="center"/>
            </w:pPr>
            <w:r>
              <w:rPr>
                <w:rFonts w:ascii="Calibri" w:hAnsi="Calibri"/>
                <w:b/>
                <w:color w:val="FFFFFF"/>
                <w:sz w:val="20"/>
              </w:rPr>
              <w:t>Définition Complète &amp; Rôle dans le Projet</w:t>
            </w:r>
          </w:p>
        </w:tc>
      </w:tr>
      <w:tr>
        <w:tc>
          <w:tcPr>
            <w:tcW w:type="dxa" w:w="216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AI / IA</w:t>
            </w:r>
          </w:p>
        </w:tc>
        <w:tc>
          <w:tcPr>
            <w:tcW w:type="dxa" w:w="691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Artificial Intelligence / Intelligence Artificielle</w:t>
            </w:r>
          </w:p>
        </w:tc>
      </w:tr>
      <w:tr>
        <w:tc>
          <w:tcPr>
            <w:tcW w:type="dxa" w:w="2160"/>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AUC</w:t>
            </w:r>
          </w:p>
        </w:tc>
        <w:tc>
          <w:tcPr>
            <w:tcW w:type="dxa" w:w="691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Area Under the Curve (Aire sous la courbe ROC)</w:t>
            </w:r>
          </w:p>
        </w:tc>
      </w:tr>
      <w:tr>
        <w:tc>
          <w:tcPr>
            <w:tcW w:type="dxa" w:w="216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BPFI</w:t>
            </w:r>
          </w:p>
        </w:tc>
        <w:tc>
          <w:tcPr>
            <w:tcW w:type="dxa" w:w="691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Ball Pass Frequency Inner Ring (Fréquence de passage des billes sur bague interne)</w:t>
            </w:r>
          </w:p>
        </w:tc>
      </w:tr>
      <w:tr>
        <w:tc>
          <w:tcPr>
            <w:tcW w:type="dxa" w:w="2160"/>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BPFO</w:t>
            </w:r>
          </w:p>
        </w:tc>
        <w:tc>
          <w:tcPr>
            <w:tcW w:type="dxa" w:w="691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Ball Pass Frequency Outer Ring (Fréquence de passage des billes sur bague externe)</w:t>
            </w:r>
          </w:p>
        </w:tc>
      </w:tr>
      <w:tr>
        <w:tc>
          <w:tcPr>
            <w:tcW w:type="dxa" w:w="216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BSF</w:t>
            </w:r>
          </w:p>
        </w:tc>
        <w:tc>
          <w:tcPr>
            <w:tcW w:type="dxa" w:w="691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Ball Spin Frequency (Fréquence de rotation propre de la bille sur elle-même)</w:t>
            </w:r>
          </w:p>
        </w:tc>
      </w:tr>
      <w:tr>
        <w:tc>
          <w:tcPr>
            <w:tcW w:type="dxa" w:w="2160"/>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CNN</w:t>
            </w:r>
          </w:p>
        </w:tc>
        <w:tc>
          <w:tcPr>
            <w:tcW w:type="dxa" w:w="691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Convolutional Neural Network (Réseau de neurones convolutif)</w:t>
            </w:r>
          </w:p>
        </w:tc>
      </w:tr>
      <w:tr>
        <w:tc>
          <w:tcPr>
            <w:tcW w:type="dxa" w:w="216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CWRU</w:t>
            </w:r>
          </w:p>
        </w:tc>
        <w:tc>
          <w:tcPr>
            <w:tcW w:type="dxa" w:w="691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Case Western Reserve University (Jeu de données vibratoires de référence mondiale)</w:t>
            </w:r>
          </w:p>
        </w:tc>
      </w:tr>
      <w:tr>
        <w:tc>
          <w:tcPr>
            <w:tcW w:type="dxa" w:w="2160"/>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DE</w:t>
            </w:r>
          </w:p>
        </w:tc>
        <w:tc>
          <w:tcPr>
            <w:tcW w:type="dxa" w:w="691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Drive End (Accéléromètre positionné côté entraînement moteur)</w:t>
            </w:r>
          </w:p>
        </w:tc>
      </w:tr>
      <w:tr>
        <w:tc>
          <w:tcPr>
            <w:tcW w:type="dxa" w:w="216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Edge AI</w:t>
            </w:r>
          </w:p>
        </w:tc>
        <w:tc>
          <w:tcPr>
            <w:tcW w:type="dxa" w:w="691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Intelligence Artificielle Embarquée directement sur dispositif périphérique</w:t>
            </w:r>
          </w:p>
        </w:tc>
      </w:tr>
      <w:tr>
        <w:tc>
          <w:tcPr>
            <w:tcW w:type="dxa" w:w="2160"/>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FE</w:t>
            </w:r>
          </w:p>
        </w:tc>
        <w:tc>
          <w:tcPr>
            <w:tcW w:type="dxa" w:w="691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Fan End (Accéléromètre positionné côté ventilateur moteur)</w:t>
            </w:r>
          </w:p>
        </w:tc>
      </w:tr>
      <w:tr>
        <w:tc>
          <w:tcPr>
            <w:tcW w:type="dxa" w:w="216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FFT</w:t>
            </w:r>
          </w:p>
        </w:tc>
        <w:tc>
          <w:tcPr>
            <w:tcW w:type="dxa" w:w="691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Fast Fourier Transform (Transformée de Fourier Rapide)</w:t>
            </w:r>
          </w:p>
        </w:tc>
      </w:tr>
      <w:tr>
        <w:tc>
          <w:tcPr>
            <w:tcW w:type="dxa" w:w="2160"/>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FTF</w:t>
            </w:r>
          </w:p>
        </w:tc>
        <w:tc>
          <w:tcPr>
            <w:tcW w:type="dxa" w:w="691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Fundamental Train Frequency (Fréquence de rotation de la cage de maintien)</w:t>
            </w:r>
          </w:p>
        </w:tc>
      </w:tr>
      <w:tr>
        <w:tc>
          <w:tcPr>
            <w:tcW w:type="dxa" w:w="216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FPS</w:t>
            </w:r>
          </w:p>
        </w:tc>
        <w:tc>
          <w:tcPr>
            <w:tcW w:type="dxa" w:w="691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Frames Per Second (Nombre de fenêtres de signal traitées par seconde)</w:t>
            </w:r>
          </w:p>
        </w:tc>
      </w:tr>
      <w:tr>
        <w:tc>
          <w:tcPr>
            <w:tcW w:type="dxa" w:w="2160"/>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IIoT</w:t>
            </w:r>
          </w:p>
        </w:tc>
        <w:tc>
          <w:tcPr>
            <w:tcW w:type="dxa" w:w="691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Industrial Internet of Things (Internet Industriel des Objets)</w:t>
            </w:r>
          </w:p>
        </w:tc>
      </w:tr>
      <w:tr>
        <w:tc>
          <w:tcPr>
            <w:tcW w:type="dxa" w:w="216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ISO</w:t>
            </w:r>
          </w:p>
        </w:tc>
        <w:tc>
          <w:tcPr>
            <w:tcW w:type="dxa" w:w="691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International Organization for Standardization</w:t>
            </w:r>
          </w:p>
        </w:tc>
      </w:tr>
      <w:tr>
        <w:tc>
          <w:tcPr>
            <w:tcW w:type="dxa" w:w="2160"/>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LIME</w:t>
            </w:r>
          </w:p>
        </w:tc>
        <w:tc>
          <w:tcPr>
            <w:tcW w:type="dxa" w:w="691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Local Interpretable Model-agnostic Explanations</w:t>
            </w:r>
          </w:p>
        </w:tc>
      </w:tr>
      <w:tr>
        <w:tc>
          <w:tcPr>
            <w:tcW w:type="dxa" w:w="216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LOTO</w:t>
            </w:r>
          </w:p>
        </w:tc>
        <w:tc>
          <w:tcPr>
            <w:tcW w:type="dxa" w:w="691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Lockout / Tagout (Procédure industrielle de consignation électrique et mécanique)</w:t>
            </w:r>
          </w:p>
        </w:tc>
      </w:tr>
      <w:tr>
        <w:tc>
          <w:tcPr>
            <w:tcW w:type="dxa" w:w="2160"/>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MSE</w:t>
            </w:r>
          </w:p>
        </w:tc>
        <w:tc>
          <w:tcPr>
            <w:tcW w:type="dxa" w:w="691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Mean Squared Error (Erreur quadratique moyenne de reconstruction)</w:t>
            </w:r>
          </w:p>
        </w:tc>
      </w:tr>
      <w:tr>
        <w:tc>
          <w:tcPr>
            <w:tcW w:type="dxa" w:w="216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NPU</w:t>
            </w:r>
          </w:p>
        </w:tc>
        <w:tc>
          <w:tcPr>
            <w:tcW w:type="dxa" w:w="691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Neural Processing Unit (Puce matérielle d'accélération neuronale dédiée)</w:t>
            </w:r>
          </w:p>
        </w:tc>
      </w:tr>
      <w:tr>
        <w:tc>
          <w:tcPr>
            <w:tcW w:type="dxa" w:w="2160"/>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ONNX</w:t>
            </w:r>
          </w:p>
        </w:tc>
        <w:tc>
          <w:tcPr>
            <w:tcW w:type="dxa" w:w="691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Open Neural Network Exchange (Format standard d'interopérabilité des modèles IA)</w:t>
            </w:r>
          </w:p>
        </w:tc>
      </w:tr>
      <w:tr>
        <w:tc>
          <w:tcPr>
            <w:tcW w:type="dxa" w:w="216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PdM</w:t>
            </w:r>
          </w:p>
        </w:tc>
        <w:tc>
          <w:tcPr>
            <w:tcW w:type="dxa" w:w="691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Predictive Maintenance (Maintenance Prédictive)</w:t>
            </w:r>
          </w:p>
        </w:tc>
      </w:tr>
      <w:tr>
        <w:tc>
          <w:tcPr>
            <w:tcW w:type="dxa" w:w="2160"/>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RAG</w:t>
            </w:r>
          </w:p>
        </w:tc>
        <w:tc>
          <w:tcPr>
            <w:tcW w:type="dxa" w:w="691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Retrieval-Augmented Generation (Génération de texte augmentée par recherche documentaire)</w:t>
            </w:r>
          </w:p>
        </w:tc>
      </w:tr>
      <w:tr>
        <w:tc>
          <w:tcPr>
            <w:tcW w:type="dxa" w:w="216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RMS</w:t>
            </w:r>
          </w:p>
        </w:tc>
        <w:tc>
          <w:tcPr>
            <w:tcW w:type="dxa" w:w="691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Root Mean Square (Valeur efficace du signal vibratoire liée à l'énergie totale)</w:t>
            </w:r>
          </w:p>
        </w:tc>
      </w:tr>
      <w:tr>
        <w:tc>
          <w:tcPr>
            <w:tcW w:type="dxa" w:w="2160"/>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ROC</w:t>
            </w:r>
          </w:p>
        </w:tc>
        <w:tc>
          <w:tcPr>
            <w:tcW w:type="dxa" w:w="691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Receiver Operating Characteristic (Courbe de performance de classification binaire)</w:t>
            </w:r>
          </w:p>
        </w:tc>
      </w:tr>
      <w:tr>
        <w:tc>
          <w:tcPr>
            <w:tcW w:type="dxa" w:w="216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RPM</w:t>
            </w:r>
          </w:p>
        </w:tc>
        <w:tc>
          <w:tcPr>
            <w:tcW w:type="dxa" w:w="691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Revolutions Per Minute (Tours par minute, vitesse de rotation de l'arbre moteur)</w:t>
            </w:r>
          </w:p>
        </w:tc>
      </w:tr>
      <w:tr>
        <w:tc>
          <w:tcPr>
            <w:tcW w:type="dxa" w:w="2160"/>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SHAP</w:t>
            </w:r>
          </w:p>
        </w:tc>
        <w:tc>
          <w:tcPr>
            <w:tcW w:type="dxa" w:w="691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SHapley Additive exPlanations (Attribution d'importance théorique par valeurs de Shapley)</w:t>
            </w:r>
          </w:p>
        </w:tc>
      </w:tr>
      <w:tr>
        <w:tc>
          <w:tcPr>
            <w:tcW w:type="dxa" w:w="216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SLM</w:t>
            </w:r>
          </w:p>
        </w:tc>
        <w:tc>
          <w:tcPr>
            <w:tcW w:type="dxa" w:w="691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Small Language Model (Modèle de langage compact adapté aux architectures embarquées)</w:t>
            </w:r>
          </w:p>
        </w:tc>
      </w:tr>
      <w:tr>
        <w:tc>
          <w:tcPr>
            <w:tcW w:type="dxa" w:w="2160"/>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SNR</w:t>
            </w:r>
          </w:p>
        </w:tc>
        <w:tc>
          <w:tcPr>
            <w:tcW w:type="dxa" w:w="691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Signal-to-Noise Ratio (Rapport Signal sur Bruit exprimé en décibels dB)</w:t>
            </w:r>
          </w:p>
        </w:tc>
      </w:tr>
      <w:tr>
        <w:tc>
          <w:tcPr>
            <w:tcW w:type="dxa" w:w="216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TF-IDF</w:t>
            </w:r>
          </w:p>
        </w:tc>
        <w:tc>
          <w:tcPr>
            <w:tcW w:type="dxa" w:w="691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Term Frequency - Inverse Document Frequency (Pondération fréquentielle statistique)</w:t>
            </w:r>
          </w:p>
        </w:tc>
      </w:tr>
      <w:tr>
        <w:tc>
          <w:tcPr>
            <w:tcW w:type="dxa" w:w="2160"/>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XAI</w:t>
            </w:r>
          </w:p>
        </w:tc>
        <w:tc>
          <w:tcPr>
            <w:tcW w:type="dxa" w:w="691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Explainable Artificial Intelligence (Intelligence Artificielle Explicable)</w:t>
            </w:r>
          </w:p>
        </w:tc>
      </w:tr>
    </w:tbl>
    <w:p>
      <w:pPr>
        <w:spacing w:after="120"/>
      </w:pPr>
    </w:p>
    <w:p>
      <w:r>
        <w:br w:type="page"/>
      </w:r>
    </w:p>
    <w:p>
      <w:pPr>
        <w:keepNext/>
        <w:spacing w:before="280" w:after="160"/>
      </w:pPr>
      <w:r>
        <w:rPr>
          <w:rFonts w:ascii="Calibri" w:hAnsi="Calibri"/>
          <w:b/>
          <w:color w:val="1B365D"/>
          <w:sz w:val="34"/>
        </w:rPr>
        <w:t>Introduction Générale</w:t>
      </w:r>
    </w:p>
    <w:p>
      <w:pPr>
        <w:spacing w:line="276" w:lineRule="auto" w:after="100"/>
        <w:jc w:val="both"/>
      </w:pPr>
      <w:r>
        <w:rPr>
          <w:rFonts w:ascii="Calibri" w:hAnsi="Calibri"/>
          <w:color w:val="222222"/>
          <w:sz w:val="22"/>
        </w:rPr>
        <w:t>La quatrième révolution industrielle, communément qualifiée d'Industrie 4.0, se caractérise par la convergence des technologies de l'information et des processus opérationnels de production. Au cœur de cette mutation, l'Internet Industriel des Objets (IIoT) et l'Intelligence Artificielle redéfinissent en profondeur les paradigmes de la maintenance d'usine. Autrefois réactive (intervention après rupture) puis préventive systématique (remplacement programmé calendaire souvent prématuré et coûteux), la maintenance s'oriente désormais résolument vers la maintenance prédictive (Predictive Maintenance ou PdM). Cette stratégie novatrice repose sur l'auscultation continue de l'état de santé effectif des équipements critiques afin de détecter les micro-signes précurseurs de défaillance bien avant que ne survienne un arrêt catastrophique de la ligne de fabrication.</w:t>
      </w:r>
    </w:p>
    <w:p>
      <w:pPr>
        <w:spacing w:line="276" w:lineRule="auto" w:after="100"/>
        <w:jc w:val="both"/>
      </w:pPr>
      <w:r>
        <w:rPr>
          <w:rFonts w:ascii="Calibri" w:hAnsi="Calibri"/>
          <w:color w:val="222222"/>
          <w:sz w:val="22"/>
        </w:rPr>
        <w:t>Parmi les composants mécaniques les plus sollicités au sein du tissu manufacturier, les machines tournantes (moteurs électriques, compresseurs, turbines, ventilateurs et pompes industrielles) constituent la force motrice de l'outil productif. Au sein de ces machines, les roulements à billes représentent l'organe d'usure par excellence. Les études industrielles convergent pour estimer qu'entre 45 % et 55 % des défaillances imprévues des moteurs électriques sont directement imputables à la dégradation de leurs roulements (écaillage, fatigue de contact, grippage ou défaut de lubrification). Dans des secteurs à haute exigence de continuité de service tels que la sidérurgie, l'agroalimentaire, l'énergie ou les transports ferroviaires, une rupture inopinée de palier se traduit par des coûts d'arrêt pouvant s'élever à plusieurs dizaines de milliers d'euros par heure, sans omettre les risques considérables pour la sécurité physique des opérateurs et l'intégrité de l'environnement de travail.</w:t>
      </w:r>
    </w:p>
    <w:p>
      <w:pPr>
        <w:spacing w:line="276" w:lineRule="auto" w:after="100"/>
        <w:jc w:val="both"/>
      </w:pPr>
      <w:r>
        <w:rPr>
          <w:rFonts w:ascii="Calibri" w:hAnsi="Calibri"/>
          <w:b/>
          <w:color w:val="1B365D"/>
          <w:sz w:val="22"/>
        </w:rPr>
        <w:t xml:space="preserve">Les verrous de l'approche Cloud traditionnelle : </w:t>
      </w:r>
      <w:r>
        <w:rPr>
          <w:rFonts w:ascii="Calibri" w:hAnsi="Calibri"/>
          <w:color w:val="222222"/>
          <w:sz w:val="22"/>
        </w:rPr>
        <w:t>Durant la dernière décennie, la majorité des solutions de maintenance prédictive s'est construite sur une architecture centralisée dans le Cloud Computing. Les capteurs vibratoires collectent les séries temporelles haute fréquence et les transmettent via passerelle réseau vers des serveurs distants où sont hébergés de volumineux modèles d'apprentissage profond (Deep Learning). Cependant, ce schéma purement Cloud se heurte aujourd'hui à des verrous technologiques et opérationnels majeurs :</w:t>
      </w:r>
    </w:p>
    <w:p>
      <w:pPr>
        <w:pStyle w:val="ListBullet"/>
        <w:spacing w:line="276" w:lineRule="auto" w:after="60"/>
        <w:jc w:val="both"/>
      </w:pPr>
      <w:r>
        <w:rPr>
          <w:rFonts w:ascii="Calibri" w:hAnsi="Calibri"/>
          <w:b/>
          <w:color w:val="2B547E"/>
          <w:sz w:val="22"/>
        </w:rPr>
        <w:t xml:space="preserve">Saturation de la bande passante IIoT : </w:t>
      </w:r>
      <w:r>
        <w:rPr>
          <w:rFonts w:ascii="Calibri" w:hAnsi="Calibri"/>
          <w:color w:val="222222"/>
          <w:sz w:val="22"/>
        </w:rPr>
        <w:t>Les signaux vibratoires échantillonnés entre 12 kHz et 48 kHz génèrent des volumes de données gigaoctets par heure et par machine. Leur transfert continu sature la bande passante locale et entraîne des coûts récurrents prohibitifs de télécommunication.</w:t>
      </w:r>
    </w:p>
    <w:p>
      <w:pPr>
        <w:pStyle w:val="ListBullet"/>
        <w:spacing w:line="276" w:lineRule="auto" w:after="60"/>
        <w:jc w:val="both"/>
      </w:pPr>
      <w:r>
        <w:rPr>
          <w:rFonts w:ascii="Calibri" w:hAnsi="Calibri"/>
          <w:b/>
          <w:color w:val="2B547E"/>
          <w:sz w:val="22"/>
        </w:rPr>
        <w:t xml:space="preserve">Latence incompatible avec le temps réel strict : </w:t>
      </w:r>
      <w:r>
        <w:rPr>
          <w:rFonts w:ascii="Calibri" w:hAnsi="Calibri"/>
          <w:color w:val="222222"/>
          <w:sz w:val="22"/>
        </w:rPr>
        <w:t>Le temps d'aller-retour réseau (RTT) et la file d'attente d'inférence Cloud introduisent une latence oscillant entre plusieurs centaines de millisecondes et plusieurs secondes. Ce délai est totalement incompatible avec les mécanismes de coupure d'urgence ou d'alerte critique en temps réel nécessitant un temps de réponse déterministe inférieur à la dizaine de millisecondes.</w:t>
      </w:r>
    </w:p>
    <w:p>
      <w:pPr>
        <w:pStyle w:val="ListBullet"/>
        <w:spacing w:line="276" w:lineRule="auto" w:after="60"/>
        <w:jc w:val="both"/>
      </w:pPr>
      <w:r>
        <w:rPr>
          <w:rFonts w:ascii="Calibri" w:hAnsi="Calibri"/>
          <w:b/>
          <w:color w:val="2B547E"/>
          <w:sz w:val="22"/>
        </w:rPr>
        <w:t xml:space="preserve">Confidentialité des données et dépendance réseau : </w:t>
      </w:r>
      <w:r>
        <w:rPr>
          <w:rFonts w:ascii="Calibri" w:hAnsi="Calibri"/>
          <w:color w:val="222222"/>
          <w:sz w:val="22"/>
        </w:rPr>
        <w:t>Les industriels manifestent une réticence légitime à exporter hors de leurs usines des signatures vibratoires pouvant refléter les cadences réelles de production ou des secrets de fabrication. De surcroît, une interruption de la connectivité Internet prive instantanément l'usine de toute protection prédictive.</w:t>
      </w:r>
    </w:p>
    <w:p>
      <w:pPr>
        <w:spacing w:line="276" w:lineRule="auto" w:after="100"/>
        <w:jc w:val="both"/>
      </w:pPr>
      <w:r>
        <w:rPr>
          <w:rFonts w:ascii="Calibri" w:hAnsi="Calibri"/>
          <w:color w:val="222222"/>
          <w:sz w:val="22"/>
        </w:rPr>
        <w:t>Pour surmonter ces obstacles, le paradigme de l'Intelligence Artificielle Embarquée à la Périphérie (Edge AI) s'impose comme l'alternative incontournable. En déportant les algorithmes d'inférence directement au plus près des machines, sur des nano-ordinateurs à faible coût et basse consommation énergétique tels que le Raspberry Pi, l'Edge AI garantit un traitement ultra-rapide, autonome, confidentiel et résilient aux coupures de réseau. Toutefois, le déploiement d'algorithmes d'IA sur des cibles matérielles aux ressources de calcul et de mémoire limitées soulève un défi d'ingénierie complexe : comment concevoir des modèles d'une extrême légèreté sans sacrifier la précision de détection ?</w:t>
      </w:r>
    </w:p>
    <w:p>
      <w:pPr>
        <w:spacing w:line="276" w:lineRule="auto" w:after="100"/>
        <w:jc w:val="both"/>
      </w:pPr>
      <w:r>
        <w:rPr>
          <w:rFonts w:ascii="Calibri" w:hAnsi="Calibri"/>
          <w:color w:val="222222"/>
          <w:sz w:val="22"/>
        </w:rPr>
        <w:t>À ce défi matériel s'ajoute un second verrou fondamental : la défiance des équipes de maintenance face à l'effet « boîte noire » des modèles d'IA complexes. Un technicien d'atelier ne peut interrompre une ligne de production sur la base d'une simple probabilité mathématique abstraite sans comprendre la justification physique de l'alerte. L'explicabilité (XAI - Explainable AI) devient ainsi un prérequis indispensable pour corréler les décisions algorithmiques avec des grandeurs physiques tangibles (Kurtosis, chocs impulsionnels, fréquences de passage des billes). De plus, face à une anomalie avérée, l'opérateur a besoin de consignes techniques précises et conformes aux protocoles de sécurité (Lockout/Tagout - LOTO). C'est ici qu'interviennent les agents intelligents autonomes augmentés par récupération documentaire (RAG - Retrieval-Augmented Generation), capables d'indexer les manuels constructeurs et les fiches mécaniques pour fournir une assistance conversationnelle contextualisée en langage naturel.</w:t>
      </w:r>
    </w:p>
    <w:tbl>
      <w:tblPr>
        <w:tblW w:type="auto" w:w="0"/>
        <w:jc w:val="center"/>
        <w:tblLayout w:type="fixed"/>
        <w:tblLook w:firstColumn="1" w:firstRow="1" w:lastColumn="0" w:lastRow="0" w:noHBand="0" w:noVBand="1" w:val="04A0"/>
      </w:tblPr>
      <w:tblGrid>
        <w:gridCol w:w="9087"/>
      </w:tblGrid>
      <w:tr>
        <w:tc>
          <w:tcPr>
            <w:tcW w:type="dxa" w:w="9072"/>
            <w:shd w:fill="F0F4F8"/>
            <w:tcBorders>
              <w:top w:val="none"/>
              <w:left w:val="single" w:sz="32" w:space="0" w:color="1B365D"/>
              <w:bottom w:val="none"/>
              <w:right w:val="none"/>
            </w:tcBorders>
            <w:tcMar>
              <w:top w:w="140" w:type="dxa"/>
              <w:left w:w="200" w:type="dxa"/>
              <w:bottom w:w="140" w:type="dxa"/>
              <w:right w:w="200" w:type="dxa"/>
            </w:tcMar>
          </w:tcPr>
          <w:p>
            <w:pPr>
              <w:spacing w:before="80" w:after="40"/>
              <w:jc w:val="both"/>
            </w:pPr>
            <w:r>
              <w:rPr>
                <w:rFonts w:ascii="Calibri" w:hAnsi="Calibri"/>
                <w:b/>
                <w:color w:val="1B365D"/>
                <w:sz w:val="21"/>
              </w:rPr>
              <w:t>[NORME &amp; STANDARD INDUSTRIEL] Problématique Centrale du Stage</w:t>
              <w:br/>
            </w:r>
            <w:r>
              <w:rPr>
                <w:rFonts w:ascii="Calibri" w:hAnsi="Calibri"/>
                <w:i w:val="0"/>
                <w:color w:val="222222"/>
                <w:sz w:val="20"/>
              </w:rPr>
              <w:t>Dans quelle mesure est-il possible de concevoir, d'optimiser et de déployer sur nano-ordinateur Raspberry Pi un système de détection d'anomalies de roulements mécaniques ultra-léger (&lt; 1 ms de latence), explicable (XAI) et résilient aux bruits industriels, tout en couplant ce moteur à un agent conversationnel RAG capable de contextualiser les alertes et de guider les techniciens d'atelier au moyen de recommandations de maintenance rigoureuses et traçables ?</w:t>
            </w:r>
          </w:p>
        </w:tc>
      </w:tr>
    </w:tbl>
    <w:p>
      <w:pPr>
        <w:spacing w:after="80"/>
      </w:pPr>
    </w:p>
    <w:p>
      <w:pPr>
        <w:spacing w:line="276" w:lineRule="auto" w:after="100"/>
        <w:jc w:val="both"/>
      </w:pPr>
      <w:r>
        <w:rPr>
          <w:rFonts w:ascii="Calibri" w:hAnsi="Calibri"/>
          <w:b/>
          <w:color w:val="1B365D"/>
          <w:sz w:val="22"/>
        </w:rPr>
        <w:t xml:space="preserve">Organisation du Mémoire : </w:t>
      </w:r>
      <w:r>
        <w:rPr>
          <w:rFonts w:ascii="Calibri" w:hAnsi="Calibri"/>
          <w:color w:val="222222"/>
          <w:sz w:val="22"/>
        </w:rPr>
        <w:t>Le présent mémoire retrace l'intégralité de la démarche scientifique et technique menée pour répondre à cette problématique. Le document est articulé autour de 9 chapitres complémentaires :</w:t>
      </w:r>
    </w:p>
    <w:p>
      <w:pPr>
        <w:pStyle w:val="ListBullet"/>
        <w:spacing w:line="276" w:lineRule="auto" w:after="60"/>
        <w:jc w:val="both"/>
      </w:pPr>
      <w:r>
        <w:rPr>
          <w:rFonts w:ascii="Calibri" w:hAnsi="Calibri"/>
          <w:b/>
          <w:color w:val="2B547E"/>
          <w:sz w:val="22"/>
        </w:rPr>
        <w:t xml:space="preserve">Chapitre 1 : </w:t>
      </w:r>
      <w:r>
        <w:rPr>
          <w:rFonts w:ascii="Calibri" w:hAnsi="Calibri"/>
          <w:color w:val="222222"/>
          <w:sz w:val="22"/>
        </w:rPr>
        <w:t>Exposition des besoins, analyse fonctionnelle FAST et spécifications matérielles.</w:t>
      </w:r>
    </w:p>
    <w:p>
      <w:pPr>
        <w:pStyle w:val="ListBullet"/>
        <w:spacing w:line="276" w:lineRule="auto" w:after="60"/>
        <w:jc w:val="both"/>
      </w:pPr>
      <w:r>
        <w:rPr>
          <w:rFonts w:ascii="Calibri" w:hAnsi="Calibri"/>
          <w:b/>
          <w:color w:val="2B547E"/>
          <w:sz w:val="22"/>
        </w:rPr>
        <w:t xml:space="preserve">Chapitre 2 : </w:t>
      </w:r>
      <w:r>
        <w:rPr>
          <w:rFonts w:ascii="Calibri" w:hAnsi="Calibri"/>
          <w:color w:val="222222"/>
          <w:sz w:val="22"/>
        </w:rPr>
        <w:t>Revue bibliographique exhaustive, cinématique des défauts et gaps scientifiques pour revue Q1.</w:t>
      </w:r>
    </w:p>
    <w:p>
      <w:pPr>
        <w:pStyle w:val="ListBullet"/>
        <w:spacing w:line="276" w:lineRule="auto" w:after="60"/>
        <w:jc w:val="both"/>
      </w:pPr>
      <w:r>
        <w:rPr>
          <w:rFonts w:ascii="Calibri" w:hAnsi="Calibri"/>
          <w:b/>
          <w:color w:val="2B547E"/>
          <w:sz w:val="22"/>
        </w:rPr>
        <w:t xml:space="preserve">Chapitre 3 : </w:t>
      </w:r>
      <w:r>
        <w:rPr>
          <w:rFonts w:ascii="Calibri" w:hAnsi="Calibri"/>
          <w:color w:val="222222"/>
          <w:sz w:val="22"/>
        </w:rPr>
        <w:t>Ingestion des signaux CWRU/NASA, fenêtrage glissant et extraction des 16 caractéristiques temporelles/FFT.</w:t>
      </w:r>
    </w:p>
    <w:p>
      <w:pPr>
        <w:pStyle w:val="ListBullet"/>
        <w:spacing w:line="276" w:lineRule="auto" w:after="60"/>
        <w:jc w:val="both"/>
      </w:pPr>
      <w:r>
        <w:rPr>
          <w:rFonts w:ascii="Calibri" w:hAnsi="Calibri"/>
          <w:b/>
          <w:color w:val="2B547E"/>
          <w:sz w:val="22"/>
        </w:rPr>
        <w:t xml:space="preserve">Chapitre 4 : </w:t>
      </w:r>
      <w:r>
        <w:rPr>
          <w:rFonts w:ascii="Calibri" w:hAnsi="Calibri"/>
          <w:color w:val="222222"/>
          <w:sz w:val="22"/>
        </w:rPr>
        <w:t>Conception, entraînement et comparaison des 5 architectures IA (arbres, 1D-CNN, autoencodeur).</w:t>
      </w:r>
    </w:p>
    <w:p>
      <w:pPr>
        <w:pStyle w:val="ListBullet"/>
        <w:spacing w:line="276" w:lineRule="auto" w:after="60"/>
        <w:jc w:val="both"/>
      </w:pPr>
      <w:r>
        <w:rPr>
          <w:rFonts w:ascii="Calibri" w:hAnsi="Calibri"/>
          <w:b/>
          <w:color w:val="2B547E"/>
          <w:sz w:val="22"/>
        </w:rPr>
        <w:t xml:space="preserve">Chapitre 5 : </w:t>
      </w:r>
      <w:r>
        <w:rPr>
          <w:rFonts w:ascii="Calibri" w:hAnsi="Calibri"/>
          <w:color w:val="222222"/>
          <w:sz w:val="22"/>
        </w:rPr>
        <w:t>Moteur d'inférence en streaming IoT et benchmark approfondi sur Raspberry Pi (latence, RAM, CPU).</w:t>
      </w:r>
    </w:p>
    <w:p>
      <w:pPr>
        <w:pStyle w:val="ListBullet"/>
        <w:spacing w:line="276" w:lineRule="auto" w:after="60"/>
        <w:jc w:val="both"/>
      </w:pPr>
      <w:r>
        <w:rPr>
          <w:rFonts w:ascii="Calibri" w:hAnsi="Calibri"/>
          <w:b/>
          <w:color w:val="2B547E"/>
          <w:sz w:val="22"/>
        </w:rPr>
        <w:t xml:space="preserve">Chapitre 6 : </w:t>
      </w:r>
      <w:r>
        <w:rPr>
          <w:rFonts w:ascii="Calibri" w:hAnsi="Calibri"/>
          <w:color w:val="222222"/>
          <w:sz w:val="22"/>
        </w:rPr>
        <w:t>Module d'explicabilité industrielle (XAI), attribution locale et dynamique des Z-scores.</w:t>
      </w:r>
    </w:p>
    <w:p>
      <w:pPr>
        <w:pStyle w:val="ListBullet"/>
        <w:spacing w:line="276" w:lineRule="auto" w:after="60"/>
        <w:jc w:val="both"/>
      </w:pPr>
      <w:r>
        <w:rPr>
          <w:rFonts w:ascii="Calibri" w:hAnsi="Calibri"/>
          <w:b/>
          <w:color w:val="2B547E"/>
          <w:sz w:val="22"/>
        </w:rPr>
        <w:t xml:space="preserve">Chapitre 7 : </w:t>
      </w:r>
      <w:r>
        <w:rPr>
          <w:rFonts w:ascii="Calibri" w:hAnsi="Calibri"/>
          <w:color w:val="222222"/>
          <w:sz w:val="22"/>
        </w:rPr>
        <w:t>Agent IA / RAG, structuration de la base D1-D11 et génération automatique de rapports de diagnostic.</w:t>
      </w:r>
    </w:p>
    <w:p>
      <w:pPr>
        <w:pStyle w:val="ListBullet"/>
        <w:spacing w:line="276" w:lineRule="auto" w:after="60"/>
        <w:jc w:val="both"/>
      </w:pPr>
      <w:r>
        <w:rPr>
          <w:rFonts w:ascii="Calibri" w:hAnsi="Calibri"/>
          <w:b/>
          <w:color w:val="2B547E"/>
          <w:sz w:val="22"/>
        </w:rPr>
        <w:t xml:space="preserve">Chapitre 8 : </w:t>
      </w:r>
      <w:r>
        <w:rPr>
          <w:rFonts w:ascii="Calibri" w:hAnsi="Calibri"/>
          <w:color w:val="222222"/>
          <w:sz w:val="22"/>
        </w:rPr>
        <w:t>Architecture logicielle full-stack, API FastAPI et dashboard React/Vite temps réel.</w:t>
      </w:r>
    </w:p>
    <w:p>
      <w:pPr>
        <w:pStyle w:val="ListBullet"/>
        <w:spacing w:line="276" w:lineRule="auto" w:after="60"/>
        <w:jc w:val="both"/>
      </w:pPr>
      <w:r>
        <w:rPr>
          <w:rFonts w:ascii="Calibri" w:hAnsi="Calibri"/>
          <w:b/>
          <w:color w:val="2B547E"/>
          <w:sz w:val="22"/>
        </w:rPr>
        <w:t xml:space="preserve">Chapitre 9 : </w:t>
      </w:r>
      <w:r>
        <w:rPr>
          <w:rFonts w:ascii="Calibri" w:hAnsi="Calibri"/>
          <w:color w:val="222222"/>
          <w:sz w:val="22"/>
        </w:rPr>
        <w:t>Dossier pédagogique de travaux pratiques (16h) et grille d'évaluation sommative.</w:t>
      </w:r>
    </w:p>
    <w:p>
      <w:r>
        <w:br w:type="page"/>
      </w:r>
    </w:p>
    <w:p>
      <w:pPr>
        <w:keepNext/>
        <w:spacing w:before="280" w:after="160"/>
      </w:pPr>
      <w:r>
        <w:rPr>
          <w:rFonts w:ascii="Calibri" w:hAnsi="Calibri"/>
          <w:b/>
          <w:color w:val="1B365D"/>
          <w:sz w:val="34"/>
        </w:rPr>
        <w:t>Chapitre 1 : Contexte Industriel, Cahier des Charges &amp; Analyse du Besoin</w:t>
      </w:r>
    </w:p>
    <w:p>
      <w:pPr>
        <w:keepNext/>
        <w:spacing w:before="240" w:after="80"/>
      </w:pPr>
      <w:r>
        <w:rPr>
          <w:rFonts w:ascii="Calibri" w:hAnsi="Calibri"/>
          <w:b/>
          <w:color w:val="2B547E"/>
          <w:sz w:val="27"/>
        </w:rPr>
        <w:t>1.1 Contexte Général : La Révolution de la Maintenance Prédictive 4.0</w:t>
      </w:r>
    </w:p>
    <w:p>
      <w:pPr>
        <w:spacing w:line="276" w:lineRule="auto" w:after="100"/>
        <w:jc w:val="both"/>
      </w:pPr>
      <w:r>
        <w:rPr>
          <w:rFonts w:ascii="Calibri" w:hAnsi="Calibri"/>
          <w:color w:val="222222"/>
          <w:sz w:val="22"/>
        </w:rPr>
        <w:t>L'automatisation industrielle contemporaine exige une disponibilité opérationnelle quasi-continue des équipements. Dans ce contexte, la maintenance n'est plus considérée comme un centre de coût inévitable mais comme un levier stratégique de création de valeur. Le passage de la maintenance corrective (réaction post-avarie) à la maintenance préventive conditionnelle, puis prédictive, s'appuie sur la surveillance continue de paramètres physiques tels que la vibration, la température, le courant absorbé et l'émission acoustique. Parmi ces grandeurs, la vibration mécanique constitue l'indicateur le plus précoce et le plus riche d'enseignements : plus de 80 % des défauts mécaniques naissants se manifestent d'abord par des perturbations vibratoires bien avant toute élévation mesurable de température ou émission d'odeur de surchauffe.</w:t>
      </w:r>
    </w:p>
    <w:p>
      <w:pPr>
        <w:keepNext/>
        <w:spacing w:before="240" w:after="80"/>
      </w:pPr>
      <w:r>
        <w:rPr>
          <w:rFonts w:ascii="Calibri" w:hAnsi="Calibri"/>
          <w:b/>
          <w:color w:val="2B547E"/>
          <w:sz w:val="27"/>
        </w:rPr>
        <w:t>1.2 Problématique de Défaillance des Organes Rotatifs et Roulements</w:t>
      </w:r>
    </w:p>
    <w:p>
      <w:pPr>
        <w:spacing w:line="276" w:lineRule="auto" w:after="100"/>
        <w:jc w:val="both"/>
      </w:pPr>
      <w:r>
        <w:rPr>
          <w:rFonts w:ascii="Calibri" w:hAnsi="Calibri"/>
          <w:color w:val="222222"/>
          <w:sz w:val="22"/>
        </w:rPr>
        <w:t>Les roulements à billes ou à rouleaux ont pour fonction mécanique essentielle de guider la rotation d'un arbre tout en reprenant les charges radiales et axiales appliquées, en minimisant les frottements. Un roulement standard se compose de quatre éléments : la bague intérieure (solidaire de l'arbre tournant), la bague extérieure (solidaire du logement fixe ou palier), les éléments roulants (billes ou rouleaux) et la cage de guidage. Soumis à des contraintes de contact hertziennes cycliques très élevées (souvent supérieures à 1.5 GPa), ces éléments subissent au cours de leur cycle de vie des phénomènes de fatigue de sous-couche, conduisant à l'apparition de micro-fissures puis à l'écaillage superficiel (spalling).</w:t>
      </w:r>
    </w:p>
    <w:p>
      <w:pPr>
        <w:spacing w:line="276" w:lineRule="auto" w:after="100"/>
        <w:jc w:val="both"/>
      </w:pPr>
      <w:r>
        <w:rPr>
          <w:rFonts w:ascii="Calibri" w:hAnsi="Calibri"/>
          <w:color w:val="222222"/>
          <w:sz w:val="22"/>
        </w:rPr>
        <w:t>Chaque passage d'un élément roulant sur une discontinuité géométrique (défaut) génère un choc mécanique extrêmement bref (de l'ordre de quelques dizaines de microsecondes). Ces chocs répétés excitent les fréquences propres du roulement et de la structure, se traduisant dans le signal vibratoire par des trains d'ondes impulsionnelles amorties. Selon l'élément endommagé, la fréquence de répétition de ces chocs est rigoureusement régie par les rapports géométriques du composant et la vitesse de rotation.</w:t>
      </w:r>
    </w:p>
    <w:p>
      <w:pPr>
        <w:keepNext/>
        <w:spacing w:before="240" w:after="80"/>
      </w:pPr>
      <w:r>
        <w:rPr>
          <w:rFonts w:ascii="Calibri" w:hAnsi="Calibri"/>
          <w:b/>
          <w:color w:val="2B547E"/>
          <w:sz w:val="27"/>
        </w:rPr>
        <w:t>1.3 Analyse Fonctionnelle du Besoin (Méthode FAST et Exigences Opérationnelles)</w:t>
      </w:r>
    </w:p>
    <w:p>
      <w:pPr>
        <w:spacing w:line="276" w:lineRule="auto" w:after="100"/>
        <w:jc w:val="both"/>
      </w:pPr>
      <w:r>
        <w:rPr>
          <w:rFonts w:ascii="Calibri" w:hAnsi="Calibri"/>
          <w:color w:val="222222"/>
          <w:sz w:val="22"/>
        </w:rPr>
        <w:t>Afin de structurer avec rigueur le périmètre du projet, une analyse fonctionnelle descendante a été menée selon la méthode FAST (Function Analysis System Technique). La fonction globale (FP) attribuée au système s'énonce ainsi : « Surveiller en temps réel l'intégrité vibratoire d'un roulement industriel sur processeur embarqué, détecter et classifier toute anomalie naissante en moins d'une milliseconde, et guider l'opérateur humain dans son intervention de maintenance ».</w:t>
      </w:r>
    </w:p>
    <w:p>
      <w:pPr>
        <w:spacing w:line="276" w:lineRule="auto" w:after="100"/>
        <w:jc w:val="both"/>
      </w:pPr>
      <w:r>
        <w:rPr>
          <w:rFonts w:ascii="Calibri" w:hAnsi="Calibri"/>
          <w:b/>
          <w:color w:val="1B365D"/>
          <w:sz w:val="22"/>
        </w:rPr>
        <w:t xml:space="preserve">Décomposition Fonctionnelle : </w:t>
      </w:r>
      <w:r>
        <w:rPr>
          <w:rFonts w:ascii="Calibri" w:hAnsi="Calibri"/>
          <w:color w:val="222222"/>
          <w:sz w:val="22"/>
        </w:rPr>
        <w:t>Cette fonction globale se décline en cinq fonctions de service principales :</w:t>
      </w:r>
    </w:p>
    <w:p>
      <w:pPr>
        <w:pStyle w:val="ListBullet"/>
        <w:spacing w:line="276" w:lineRule="auto" w:after="60"/>
        <w:jc w:val="both"/>
      </w:pPr>
      <w:r>
        <w:rPr>
          <w:rFonts w:ascii="Calibri" w:hAnsi="Calibri"/>
          <w:b/>
          <w:color w:val="2B547E"/>
          <w:sz w:val="22"/>
        </w:rPr>
        <w:t xml:space="preserve">FS1 - Ingestion &amp; Prétraitement : </w:t>
      </w:r>
      <w:r>
        <w:rPr>
          <w:rFonts w:ascii="Calibri" w:hAnsi="Calibri"/>
          <w:color w:val="222222"/>
          <w:sz w:val="22"/>
        </w:rPr>
        <w:t>Acquérir le signal accélérométrique et découper le flux temporel en fenêtres glissantes normalisées.</w:t>
      </w:r>
    </w:p>
    <w:p>
      <w:pPr>
        <w:pStyle w:val="ListBullet"/>
        <w:spacing w:line="276" w:lineRule="auto" w:after="60"/>
        <w:jc w:val="both"/>
      </w:pPr>
      <w:r>
        <w:rPr>
          <w:rFonts w:ascii="Calibri" w:hAnsi="Calibri"/>
          <w:b/>
          <w:color w:val="2B547E"/>
          <w:sz w:val="22"/>
        </w:rPr>
        <w:t xml:space="preserve">FS2 - Caractérisation : </w:t>
      </w:r>
      <w:r>
        <w:rPr>
          <w:rFonts w:ascii="Calibri" w:hAnsi="Calibri"/>
          <w:color w:val="222222"/>
          <w:sz w:val="22"/>
        </w:rPr>
        <w:t>Extraire un vecteur compact d'indicateurs statistiques temporels et spectraux FFT à forte séparabilité physique.</w:t>
      </w:r>
    </w:p>
    <w:p>
      <w:pPr>
        <w:pStyle w:val="ListBullet"/>
        <w:spacing w:line="276" w:lineRule="auto" w:after="60"/>
        <w:jc w:val="both"/>
      </w:pPr>
      <w:r>
        <w:rPr>
          <w:rFonts w:ascii="Calibri" w:hAnsi="Calibri"/>
          <w:b/>
          <w:color w:val="2B547E"/>
          <w:sz w:val="22"/>
        </w:rPr>
        <w:t xml:space="preserve">FS3 - Inférence Edge : </w:t>
      </w:r>
      <w:r>
        <w:rPr>
          <w:rFonts w:ascii="Calibri" w:hAnsi="Calibri"/>
          <w:color w:val="222222"/>
          <w:sz w:val="22"/>
        </w:rPr>
        <w:t>Exécuter l'inférence via un algorithme IA optimisé pour architecture ARM avec une latence inférieure à 1 ms.</w:t>
      </w:r>
    </w:p>
    <w:p>
      <w:pPr>
        <w:pStyle w:val="ListBullet"/>
        <w:spacing w:line="276" w:lineRule="auto" w:after="60"/>
        <w:jc w:val="both"/>
      </w:pPr>
      <w:r>
        <w:rPr>
          <w:rFonts w:ascii="Calibri" w:hAnsi="Calibri"/>
          <w:b/>
          <w:color w:val="2B547E"/>
          <w:sz w:val="22"/>
        </w:rPr>
        <w:t xml:space="preserve">FS4 - Explicabilité XAI : </w:t>
      </w:r>
      <w:r>
        <w:rPr>
          <w:rFonts w:ascii="Calibri" w:hAnsi="Calibri"/>
          <w:color w:val="222222"/>
          <w:sz w:val="22"/>
        </w:rPr>
        <w:t>Calculer l'attribution des variables (Z-scores, SHAP) pour rendre la décision intelligible par un technicien.</w:t>
      </w:r>
    </w:p>
    <w:p>
      <w:pPr>
        <w:pStyle w:val="ListBullet"/>
        <w:spacing w:line="276" w:lineRule="auto" w:after="60"/>
        <w:jc w:val="both"/>
      </w:pPr>
      <w:r>
        <w:rPr>
          <w:rFonts w:ascii="Calibri" w:hAnsi="Calibri"/>
          <w:b/>
          <w:color w:val="2B547E"/>
          <w:sz w:val="22"/>
        </w:rPr>
        <w:t xml:space="preserve">FS5 - Assistance RAG : </w:t>
      </w:r>
      <w:r>
        <w:rPr>
          <w:rFonts w:ascii="Calibri" w:hAnsi="Calibri"/>
          <w:color w:val="222222"/>
          <w:sz w:val="22"/>
        </w:rPr>
        <w:t>Assister l'opérateur via un agent RAG indexant la documentation technique et générer les fiches d'intervention.</w:t>
      </w:r>
    </w:p>
    <w:p>
      <w:pPr>
        <w:keepNext/>
        <w:spacing w:before="240" w:after="80"/>
      </w:pPr>
      <w:r>
        <w:rPr>
          <w:rFonts w:ascii="Calibri" w:hAnsi="Calibri"/>
          <w:b/>
          <w:color w:val="2B547E"/>
          <w:sz w:val="27"/>
        </w:rPr>
        <w:t>1.4 Spécifications Matérielles et Exigences Temps Réel sur Raspberry Pi</w:t>
      </w:r>
    </w:p>
    <w:p>
      <w:pPr>
        <w:spacing w:line="276" w:lineRule="auto" w:after="100"/>
        <w:jc w:val="both"/>
      </w:pPr>
      <w:r>
        <w:rPr>
          <w:rFonts w:ascii="Calibri" w:hAnsi="Calibri"/>
          <w:b/>
          <w:color w:val="1B365D"/>
          <w:sz w:val="22"/>
        </w:rPr>
        <w:t xml:space="preserve">Contraintes Matérielles Strictes : </w:t>
      </w:r>
      <w:r>
        <w:rPr>
          <w:rFonts w:ascii="Calibri" w:hAnsi="Calibri"/>
          <w:color w:val="222222"/>
          <w:sz w:val="22"/>
        </w:rPr>
        <w:t>Le cahier des charges impose le déploiement du prototype sur une cible matérielle représentative des passerelles IIoT d'atelier : le nano-ordinateur Raspberry Pi 4 Modèle B (processeur Broadcom BCM2711, Quad-core Cortex-A72 ARM v8 64-bit à 1.5 GHz, 4 Go de RAM LPDDR4). Cette cible matérielle impose des contraintes sévères :</w:t>
      </w:r>
    </w:p>
    <w:p>
      <w:pPr>
        <w:pStyle w:val="ListBullet"/>
        <w:spacing w:line="276" w:lineRule="auto" w:after="60"/>
        <w:jc w:val="both"/>
      </w:pPr>
      <w:r>
        <w:rPr>
          <w:rFonts w:ascii="Calibri" w:hAnsi="Calibri"/>
          <w:b/>
          <w:color w:val="2B547E"/>
          <w:sz w:val="22"/>
        </w:rPr>
        <w:t xml:space="preserve">Budget de Latence Temps Réel : </w:t>
      </w:r>
      <w:r>
        <w:rPr>
          <w:rFonts w:ascii="Calibri" w:hAnsi="Calibri"/>
          <w:color w:val="222222"/>
          <w:sz w:val="22"/>
        </w:rPr>
        <w:t>Le temps de traitement total (extraction de features + inférence) doit être strictement inférieur à la durée de la fenêtre temporelle analysée (85.3 ms) et idéalement inférieur à 1.0 ms pour préserver 98 % des cycles CPU pour les tâches système et de communication.</w:t>
      </w:r>
    </w:p>
    <w:p>
      <w:pPr>
        <w:pStyle w:val="ListBullet"/>
        <w:spacing w:line="276" w:lineRule="auto" w:after="60"/>
        <w:jc w:val="both"/>
      </w:pPr>
      <w:r>
        <w:rPr>
          <w:rFonts w:ascii="Calibri" w:hAnsi="Calibri"/>
          <w:b/>
          <w:color w:val="2B547E"/>
          <w:sz w:val="22"/>
        </w:rPr>
        <w:t xml:space="preserve">Empreinte Mémoire RAM : </w:t>
      </w:r>
      <w:r>
        <w:rPr>
          <w:rFonts w:ascii="Calibri" w:hAnsi="Calibri"/>
          <w:color w:val="222222"/>
          <w:sz w:val="22"/>
        </w:rPr>
        <w:t>L'empreinte mémoire vive allouée au modèle d'IA ne doit pas excéder 50 Mo afin de cohabiter avec le système d'exploitation Linux et les services réseau.</w:t>
      </w:r>
    </w:p>
    <w:p>
      <w:pPr>
        <w:pStyle w:val="ListBullet"/>
        <w:spacing w:line="276" w:lineRule="auto" w:after="60"/>
        <w:jc w:val="both"/>
      </w:pPr>
      <w:r>
        <w:rPr>
          <w:rFonts w:ascii="Calibri" w:hAnsi="Calibri"/>
          <w:b/>
          <w:color w:val="2B547E"/>
          <w:sz w:val="22"/>
        </w:rPr>
        <w:t xml:space="preserve">Compacité du Modèle : </w:t>
      </w:r>
      <w:r>
        <w:rPr>
          <w:rFonts w:ascii="Calibri" w:hAnsi="Calibri"/>
          <w:color w:val="222222"/>
          <w:sz w:val="22"/>
        </w:rPr>
        <w:t>Le modèle sauvegardé doit présenter une taille de fichier minimale (&lt; 1 Mo) pour faciliter les mises à jour logicielles OTA (Over-The-Air) sur des réseaux industriels à bas débit.</w:t>
      </w:r>
    </w:p>
    <w:p>
      <w:pPr>
        <w:pStyle w:val="ListBullet"/>
        <w:spacing w:line="276" w:lineRule="auto" w:after="60"/>
        <w:jc w:val="both"/>
      </w:pPr>
      <w:r>
        <w:rPr>
          <w:rFonts w:ascii="Calibri" w:hAnsi="Calibri"/>
          <w:b/>
          <w:color w:val="2B547E"/>
          <w:sz w:val="22"/>
        </w:rPr>
        <w:t xml:space="preserve">Robustesse Environnementale : </w:t>
      </w:r>
      <w:r>
        <w:rPr>
          <w:rFonts w:ascii="Calibri" w:hAnsi="Calibri"/>
          <w:color w:val="222222"/>
          <w:sz w:val="22"/>
        </w:rPr>
        <w:t>Le système doit maintenir un taux de fausse alarme inférieur à 2 % même en présence d'un environnement électromagnétique bruité et de pertes ponctuelles d'échantillons.</w:t>
      </w:r>
    </w:p>
    <w:p>
      <w:pPr>
        <w:keepNext/>
        <w:spacing w:before="240" w:after="80"/>
      </w:pPr>
      <w:r>
        <w:rPr>
          <w:rFonts w:ascii="Calibri" w:hAnsi="Calibri"/>
          <w:b/>
          <w:color w:val="2B547E"/>
          <w:sz w:val="27"/>
        </w:rPr>
        <w:t>1.5 Découpage en Livrables (L1 à L17) et Planning Stratégique</w:t>
      </w:r>
    </w:p>
    <w:p>
      <w:pPr>
        <w:spacing w:line="276" w:lineRule="auto" w:after="100"/>
        <w:jc w:val="both"/>
      </w:pPr>
      <w:r>
        <w:rPr>
          <w:rFonts w:ascii="Calibri" w:hAnsi="Calibri"/>
          <w:color w:val="222222"/>
          <w:sz w:val="22"/>
        </w:rPr>
        <w:t>Conformément au cahier des charges officiel du stage, les travaux ont été scrupuleusement jalonnés selon un plan d'assurance qualité en 17 livrables majeurs (L1 à L17), couvrant les volets données, algorithmes, déploiement embarqué, documentation et pédagogie.</w:t>
      </w:r>
    </w:p>
    <w:p>
      <w:pPr>
        <w:keepNext/>
        <w:spacing w:before="200" w:after="60"/>
        <w:jc w:val="left"/>
      </w:pPr>
      <w:r>
        <w:rPr>
          <w:rFonts w:ascii="Calibri" w:hAnsi="Calibri"/>
          <w:b/>
          <w:color w:val="1B365D"/>
          <w:sz w:val="20"/>
        </w:rPr>
        <w:t xml:space="preserve">Tableau 01 — </w:t>
      </w:r>
      <w:r>
        <w:rPr>
          <w:rFonts w:ascii="Calibri" w:hAnsi="Calibri"/>
          <w:i/>
          <w:color w:val="222222"/>
          <w:sz w:val="20"/>
        </w:rPr>
        <w:t>Matrice de conformité et de validation des 17 livrables du cahier des charges</w:t>
      </w:r>
    </w:p>
    <w:tbl>
      <w:tblPr>
        <w:tblW w:type="auto" w:w="0"/>
        <w:jc w:val="center"/>
        <w:tblLayout w:type="fixed"/>
        <w:tblLook w:firstColumn="1" w:firstRow="1" w:lastColumn="0" w:lastRow="0" w:noHBand="0" w:noVBand="1" w:val="04A0"/>
      </w:tblPr>
      <w:tblGrid>
        <w:gridCol w:w="2272"/>
        <w:gridCol w:w="2272"/>
        <w:gridCol w:w="2272"/>
        <w:gridCol w:w="2272"/>
      </w:tblGrid>
      <w:tr>
        <w:trPr>
          <w:tblHeader/>
        </w:trPr>
        <w:tc>
          <w:tcPr>
            <w:tcW w:type="dxa" w:w="864"/>
            <w:vAlign w:val="center"/>
            <w:shd w:fill="1B365D"/>
          </w:tcPr>
          <w:p>
            <w:pPr>
              <w:spacing w:before="80" w:after="80"/>
              <w:jc w:val="center"/>
            </w:pPr>
            <w:r>
              <w:rPr>
                <w:rFonts w:ascii="Calibri" w:hAnsi="Calibri"/>
                <w:b/>
                <w:color w:val="FFFFFF"/>
                <w:sz w:val="20"/>
              </w:rPr>
              <w:t>Code</w:t>
            </w:r>
          </w:p>
        </w:tc>
        <w:tc>
          <w:tcPr>
            <w:tcW w:type="dxa" w:w="3600"/>
            <w:vAlign w:val="center"/>
            <w:shd w:fill="1B365D"/>
          </w:tcPr>
          <w:p>
            <w:pPr>
              <w:spacing w:before="80" w:after="80"/>
              <w:jc w:val="center"/>
            </w:pPr>
            <w:r>
              <w:rPr>
                <w:rFonts w:ascii="Calibri" w:hAnsi="Calibri"/>
                <w:b/>
                <w:color w:val="FFFFFF"/>
                <w:sz w:val="20"/>
              </w:rPr>
              <w:t>Intitulé Officiel du Livrable</w:t>
            </w:r>
          </w:p>
        </w:tc>
        <w:tc>
          <w:tcPr>
            <w:tcW w:type="dxa" w:w="3312"/>
            <w:vAlign w:val="center"/>
            <w:shd w:fill="1B365D"/>
          </w:tcPr>
          <w:p>
            <w:pPr>
              <w:spacing w:before="80" w:after="80"/>
              <w:jc w:val="center"/>
            </w:pPr>
            <w:r>
              <w:rPr>
                <w:rFonts w:ascii="Calibri" w:hAnsi="Calibri"/>
                <w:b/>
                <w:color w:val="FFFFFF"/>
                <w:sz w:val="20"/>
              </w:rPr>
              <w:t>Emplacement dans le Dépôt</w:t>
            </w:r>
          </w:p>
        </w:tc>
        <w:tc>
          <w:tcPr>
            <w:tcW w:type="dxa" w:w="1584"/>
            <w:vAlign w:val="center"/>
            <w:shd w:fill="1B365D"/>
          </w:tcPr>
          <w:p>
            <w:pPr>
              <w:spacing w:before="80" w:after="80"/>
              <w:jc w:val="center"/>
            </w:pPr>
            <w:r>
              <w:rPr>
                <w:rFonts w:ascii="Calibri" w:hAnsi="Calibri"/>
                <w:b/>
                <w:color w:val="FFFFFF"/>
                <w:sz w:val="20"/>
              </w:rPr>
              <w:t>Statut de Validation</w:t>
            </w:r>
          </w:p>
        </w:tc>
      </w:tr>
      <w:tr>
        <w:tc>
          <w:tcPr>
            <w:tcW w:type="dxa" w:w="864"/>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L1</w:t>
            </w:r>
          </w:p>
        </w:tc>
        <w:tc>
          <w:tcPr>
            <w:tcW w:type="dxa" w:w="360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Fichiers bruts &amp; nettoyés CWRU</w:t>
            </w:r>
          </w:p>
        </w:tc>
        <w:tc>
          <w:tcPr>
            <w:tcW w:type="dxa" w:w="331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data/raw/, data/processed/</w:t>
            </w:r>
          </w:p>
        </w:tc>
        <w:tc>
          <w:tcPr>
            <w:tcW w:type="dxa" w:w="158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Validé (100 %)</w:t>
            </w:r>
          </w:p>
        </w:tc>
      </w:tr>
      <w:tr>
        <w:tc>
          <w:tcPr>
            <w:tcW w:type="dxa" w:w="864"/>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L2</w:t>
            </w:r>
          </w:p>
        </w:tc>
        <w:tc>
          <w:tcPr>
            <w:tcW w:type="dxa" w:w="360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Dataset synthétique hybride perturbé</w:t>
            </w:r>
          </w:p>
        </w:tc>
        <w:tc>
          <w:tcPr>
            <w:tcW w:type="dxa" w:w="331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data/processed/features_hybrid.parquet</w:t>
            </w:r>
          </w:p>
        </w:tc>
        <w:tc>
          <w:tcPr>
            <w:tcW w:type="dxa" w:w="1584"/>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Validé (100 %)</w:t>
            </w:r>
          </w:p>
        </w:tc>
      </w:tr>
      <w:tr>
        <w:tc>
          <w:tcPr>
            <w:tcW w:type="dxa" w:w="864"/>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L3</w:t>
            </w:r>
          </w:p>
        </w:tc>
        <w:tc>
          <w:tcPr>
            <w:tcW w:type="dxa" w:w="360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Dataset pédagogique réduit</w:t>
            </w:r>
          </w:p>
        </w:tc>
        <w:tc>
          <w:tcPr>
            <w:tcW w:type="dxa" w:w="331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data/pedagogical_subset/cwru_pedagogical_subset.csv</w:t>
            </w:r>
          </w:p>
        </w:tc>
        <w:tc>
          <w:tcPr>
            <w:tcW w:type="dxa" w:w="158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Validé (100 %)</w:t>
            </w:r>
          </w:p>
        </w:tc>
      </w:tr>
      <w:tr>
        <w:tc>
          <w:tcPr>
            <w:tcW w:type="dxa" w:w="864"/>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L4</w:t>
            </w:r>
          </w:p>
        </w:tc>
        <w:tc>
          <w:tcPr>
            <w:tcW w:type="dxa" w:w="360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Notebook exploratoire des signaux</w:t>
            </w:r>
          </w:p>
        </w:tc>
        <w:tc>
          <w:tcPr>
            <w:tcW w:type="dxa" w:w="331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notebooks/01_exploration.ipynb</w:t>
            </w:r>
          </w:p>
        </w:tc>
        <w:tc>
          <w:tcPr>
            <w:tcW w:type="dxa" w:w="1584"/>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Validé (100 %)</w:t>
            </w:r>
          </w:p>
        </w:tc>
      </w:tr>
      <w:tr>
        <w:tc>
          <w:tcPr>
            <w:tcW w:type="dxa" w:w="864"/>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L5</w:t>
            </w:r>
          </w:p>
        </w:tc>
        <w:tc>
          <w:tcPr>
            <w:tcW w:type="dxa" w:w="360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Code Python prétraitement &amp; fenêtrage</w:t>
            </w:r>
          </w:p>
        </w:tc>
        <w:tc>
          <w:tcPr>
            <w:tcW w:type="dxa" w:w="331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src/data_preparation.py</w:t>
            </w:r>
          </w:p>
        </w:tc>
        <w:tc>
          <w:tcPr>
            <w:tcW w:type="dxa" w:w="158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Validé (100 %)</w:t>
            </w:r>
          </w:p>
        </w:tc>
      </w:tr>
      <w:tr>
        <w:tc>
          <w:tcPr>
            <w:tcW w:type="dxa" w:w="864"/>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L6</w:t>
            </w:r>
          </w:p>
        </w:tc>
        <w:tc>
          <w:tcPr>
            <w:tcW w:type="dxa" w:w="360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Module extraction de caractéristiques FFT</w:t>
            </w:r>
          </w:p>
        </w:tc>
        <w:tc>
          <w:tcPr>
            <w:tcW w:type="dxa" w:w="331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src/feature_extraction.py</w:t>
            </w:r>
          </w:p>
        </w:tc>
        <w:tc>
          <w:tcPr>
            <w:tcW w:type="dxa" w:w="1584"/>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Validé (100 %)</w:t>
            </w:r>
          </w:p>
        </w:tc>
      </w:tr>
      <w:tr>
        <w:tc>
          <w:tcPr>
            <w:tcW w:type="dxa" w:w="864"/>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L7</w:t>
            </w:r>
          </w:p>
        </w:tc>
        <w:tc>
          <w:tcPr>
            <w:tcW w:type="dxa" w:w="360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Code d'entraînement des 5 modèles IA</w:t>
            </w:r>
          </w:p>
        </w:tc>
        <w:tc>
          <w:tcPr>
            <w:tcW w:type="dxa" w:w="331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src/train_models.py</w:t>
            </w:r>
          </w:p>
        </w:tc>
        <w:tc>
          <w:tcPr>
            <w:tcW w:type="dxa" w:w="158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Validé (100 %)</w:t>
            </w:r>
          </w:p>
        </w:tc>
      </w:tr>
      <w:tr>
        <w:tc>
          <w:tcPr>
            <w:tcW w:type="dxa" w:w="864"/>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L8</w:t>
            </w:r>
          </w:p>
        </w:tc>
        <w:tc>
          <w:tcPr>
            <w:tcW w:type="dxa" w:w="360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Code d'évaluation &amp; matrices de confusion</w:t>
            </w:r>
          </w:p>
        </w:tc>
        <w:tc>
          <w:tcPr>
            <w:tcW w:type="dxa" w:w="331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src/evaluate_models.py</w:t>
            </w:r>
          </w:p>
        </w:tc>
        <w:tc>
          <w:tcPr>
            <w:tcW w:type="dxa" w:w="1584"/>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Validé (100 %)</w:t>
            </w:r>
          </w:p>
        </w:tc>
      </w:tr>
      <w:tr>
        <w:tc>
          <w:tcPr>
            <w:tcW w:type="dxa" w:w="864"/>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L9</w:t>
            </w:r>
          </w:p>
        </w:tc>
        <w:tc>
          <w:tcPr>
            <w:tcW w:type="dxa" w:w="360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Moteur d'inférence Edge AI IoT streaming</w:t>
            </w:r>
          </w:p>
        </w:tc>
        <w:tc>
          <w:tcPr>
            <w:tcW w:type="dxa" w:w="331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raspberry/inference_edge.py</w:t>
            </w:r>
          </w:p>
        </w:tc>
        <w:tc>
          <w:tcPr>
            <w:tcW w:type="dxa" w:w="158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Validé (100 %)</w:t>
            </w:r>
          </w:p>
        </w:tc>
      </w:tr>
      <w:tr>
        <w:tc>
          <w:tcPr>
            <w:tcW w:type="dxa" w:w="864"/>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L10</w:t>
            </w:r>
          </w:p>
        </w:tc>
        <w:tc>
          <w:tcPr>
            <w:tcW w:type="dxa" w:w="360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Profiler de ressources &amp; robustesse</w:t>
            </w:r>
          </w:p>
        </w:tc>
        <w:tc>
          <w:tcPr>
            <w:tcW w:type="dxa" w:w="331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raspberry/benchmark_edge.py</w:t>
            </w:r>
          </w:p>
        </w:tc>
        <w:tc>
          <w:tcPr>
            <w:tcW w:type="dxa" w:w="1584"/>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Validé (100 %)</w:t>
            </w:r>
          </w:p>
        </w:tc>
      </w:tr>
      <w:tr>
        <w:tc>
          <w:tcPr>
            <w:tcW w:type="dxa" w:w="864"/>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L11</w:t>
            </w:r>
          </w:p>
        </w:tc>
        <w:tc>
          <w:tcPr>
            <w:tcW w:type="dxa" w:w="360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Logs de benchmark JSON &amp; streaming</w:t>
            </w:r>
          </w:p>
        </w:tc>
        <w:tc>
          <w:tcPr>
            <w:tcW w:type="dxa" w:w="331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raspberry/logs/benchmark_results.json</w:t>
            </w:r>
          </w:p>
        </w:tc>
        <w:tc>
          <w:tcPr>
            <w:tcW w:type="dxa" w:w="158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Validé (100 %)</w:t>
            </w:r>
          </w:p>
        </w:tc>
      </w:tr>
      <w:tr>
        <w:tc>
          <w:tcPr>
            <w:tcW w:type="dxa" w:w="864"/>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L12</w:t>
            </w:r>
          </w:p>
        </w:tc>
        <w:tc>
          <w:tcPr>
            <w:tcW w:type="dxa" w:w="360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Module d'explicabilité XAI (Z-scores)</w:t>
            </w:r>
          </w:p>
        </w:tc>
        <w:tc>
          <w:tcPr>
            <w:tcW w:type="dxa" w:w="331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src/explainability.py</w:t>
            </w:r>
          </w:p>
        </w:tc>
        <w:tc>
          <w:tcPr>
            <w:tcW w:type="dxa" w:w="1584"/>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Validé (100 %)</w:t>
            </w:r>
          </w:p>
        </w:tc>
      </w:tr>
      <w:tr>
        <w:tc>
          <w:tcPr>
            <w:tcW w:type="dxa" w:w="864"/>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L13</w:t>
            </w:r>
          </w:p>
        </w:tc>
        <w:tc>
          <w:tcPr>
            <w:tcW w:type="dxa" w:w="360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Figures HD et fiches de décision Edge</w:t>
            </w:r>
          </w:p>
        </w:tc>
        <w:tc>
          <w:tcPr>
            <w:tcW w:type="dxa" w:w="331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figures/ (01 à 10), reports/edge_decision_matrix.md</w:t>
            </w:r>
          </w:p>
        </w:tc>
        <w:tc>
          <w:tcPr>
            <w:tcW w:type="dxa" w:w="158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Validé (100 %)</w:t>
            </w:r>
          </w:p>
        </w:tc>
      </w:tr>
      <w:tr>
        <w:tc>
          <w:tcPr>
            <w:tcW w:type="dxa" w:w="864"/>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L14</w:t>
            </w:r>
          </w:p>
        </w:tc>
        <w:tc>
          <w:tcPr>
            <w:tcW w:type="dxa" w:w="360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Base documentaire technique RAG (D1-D11)</w:t>
            </w:r>
          </w:p>
        </w:tc>
        <w:tc>
          <w:tcPr>
            <w:tcW w:type="dxa" w:w="331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rag_agent/documents/</w:t>
            </w:r>
          </w:p>
        </w:tc>
        <w:tc>
          <w:tcPr>
            <w:tcW w:type="dxa" w:w="1584"/>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Validé (100 %)</w:t>
            </w:r>
          </w:p>
        </w:tc>
      </w:tr>
      <w:tr>
        <w:tc>
          <w:tcPr>
            <w:tcW w:type="dxa" w:w="864"/>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L15</w:t>
            </w:r>
          </w:p>
        </w:tc>
        <w:tc>
          <w:tcPr>
            <w:tcW w:type="dxa" w:w="360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Agent conversationnel RAG &amp; diagnostic</w:t>
            </w:r>
          </w:p>
        </w:tc>
        <w:tc>
          <w:tcPr>
            <w:tcW w:type="dxa" w:w="331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rag_agent/ask_agent.py, generate_diagnostic.py</w:t>
            </w:r>
          </w:p>
        </w:tc>
        <w:tc>
          <w:tcPr>
            <w:tcW w:type="dxa" w:w="158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Validé (100 %)</w:t>
            </w:r>
          </w:p>
        </w:tc>
      </w:tr>
      <w:tr>
        <w:tc>
          <w:tcPr>
            <w:tcW w:type="dxa" w:w="864"/>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L16</w:t>
            </w:r>
          </w:p>
        </w:tc>
        <w:tc>
          <w:tcPr>
            <w:tcW w:type="dxa" w:w="360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Dossier pédagogique TP (16h) &amp; grille</w:t>
            </w:r>
          </w:p>
        </w:tc>
        <w:tc>
          <w:tcPr>
            <w:tcW w:type="dxa" w:w="331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reports/cas_pedagogique.md, grille_evaluation.md</w:t>
            </w:r>
          </w:p>
        </w:tc>
        <w:tc>
          <w:tcPr>
            <w:tcW w:type="dxa" w:w="1584"/>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Validé (100 %)</w:t>
            </w:r>
          </w:p>
        </w:tc>
      </w:tr>
      <w:tr>
        <w:tc>
          <w:tcPr>
            <w:tcW w:type="dxa" w:w="864"/>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L17</w:t>
            </w:r>
          </w:p>
        </w:tc>
        <w:tc>
          <w:tcPr>
            <w:tcW w:type="dxa" w:w="360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Rapport final, Article Q1 &amp; Présentation</w:t>
            </w:r>
          </w:p>
        </w:tc>
        <w:tc>
          <w:tcPr>
            <w:tcW w:type="dxa" w:w="331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reports/rapport_final.md, draft_article.md, pptx</w:t>
            </w:r>
          </w:p>
        </w:tc>
        <w:tc>
          <w:tcPr>
            <w:tcW w:type="dxa" w:w="158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Validé (100 %)</w:t>
            </w:r>
          </w:p>
        </w:tc>
      </w:tr>
    </w:tbl>
    <w:p>
      <w:pPr>
        <w:spacing w:after="120"/>
      </w:pPr>
    </w:p>
    <w:p>
      <w:pPr>
        <w:spacing w:before="200" w:after="80"/>
        <w:jc w:val="center"/>
      </w:pPr>
      <w:r>
        <w:drawing>
          <wp:inline xmlns:a="http://schemas.openxmlformats.org/drawingml/2006/main" xmlns:pic="http://schemas.openxmlformats.org/drawingml/2006/picture">
            <wp:extent cx="5669280" cy="3049025"/>
            <wp:docPr id="1" name="Picture 1"/>
            <wp:cNvGraphicFramePr>
              <a:graphicFrameLocks noChangeAspect="1"/>
            </wp:cNvGraphicFramePr>
            <a:graphic>
              <a:graphicData uri="http://schemas.openxmlformats.org/drawingml/2006/picture">
                <pic:pic>
                  <pic:nvPicPr>
                    <pic:cNvPr id="0" name="11_system_architecture_pipeline.png"/>
                    <pic:cNvPicPr/>
                  </pic:nvPicPr>
                  <pic:blipFill>
                    <a:blip r:embed="rId11"/>
                    <a:stretch>
                      <a:fillRect/>
                    </a:stretch>
                  </pic:blipFill>
                  <pic:spPr>
                    <a:xfrm>
                      <a:off x="0" y="0"/>
                      <a:ext cx="5669280" cy="3049025"/>
                    </a:xfrm>
                    <a:prstGeom prst="rect"/>
                  </pic:spPr>
                </pic:pic>
              </a:graphicData>
            </a:graphic>
          </wp:inline>
        </w:drawing>
      </w:r>
    </w:p>
    <w:p>
      <w:pPr>
        <w:spacing w:before="40" w:after="240"/>
        <w:jc w:val="center"/>
      </w:pPr>
      <w:r>
        <w:rPr>
          <w:rFonts w:ascii="Calibri" w:hAnsi="Calibri"/>
          <w:b/>
          <w:color w:val="1B365D"/>
          <w:sz w:val="19"/>
        </w:rPr>
        <w:t xml:space="preserve">Figure 1.1 — </w:t>
      </w:r>
      <w:r>
        <w:rPr>
          <w:rFonts w:ascii="Calibri" w:hAnsi="Calibri"/>
          <w:i/>
          <w:color w:val="64748B"/>
          <w:sz w:val="19"/>
        </w:rPr>
        <w:t>Architecture globale et flux fonctionnel du système unifié : De l'acquisition IIoT à l'assistance RAG et au cockpit React</w:t>
      </w:r>
    </w:p>
    <w:p>
      <w:r>
        <w:br w:type="page"/>
      </w:r>
    </w:p>
    <w:p>
      <w:pPr>
        <w:keepNext/>
        <w:spacing w:before="280" w:after="160"/>
      </w:pPr>
      <w:r>
        <w:rPr>
          <w:rFonts w:ascii="Calibri" w:hAnsi="Calibri"/>
          <w:b/>
          <w:color w:val="1B365D"/>
          <w:sz w:val="34"/>
        </w:rPr>
        <w:t>Chapitre 2 : État de l'Art Scientifique Approfondi (Revue de Rang Q1)</w:t>
      </w:r>
    </w:p>
    <w:p>
      <w:pPr>
        <w:spacing w:line="276" w:lineRule="auto" w:after="100"/>
        <w:jc w:val="both"/>
      </w:pPr>
      <w:r>
        <w:rPr>
          <w:rFonts w:ascii="Calibri" w:hAnsi="Calibri"/>
          <w:color w:val="222222"/>
          <w:sz w:val="22"/>
        </w:rPr>
        <w:t>La rédaction de ce chapitre s'inscrit dans les exigences de rigueur méthodologique formulées par l'encadrante académique Mme Amina Rouis pour la préparation d'un article scientifique destiné à une revue internationale de premier rang (Q1, telle que IEEE Transactions on Industrial Informatics ou Mechanical Systems and Signal Processing). L'objectif est de dresser un état de l'art critique, comparatif et fondé sur des références bibliographiques vérifiées au format IEEE, en mettant en exergue les méthodes, les protocoles, les limites méthodologiques, les informations non rapportées dans la littérature et les gaps scientifiques que ce projet ambitionne de combler.</w:t>
      </w:r>
    </w:p>
    <w:p>
      <w:pPr>
        <w:keepNext/>
        <w:spacing w:before="240" w:after="80"/>
      </w:pPr>
      <w:r>
        <w:rPr>
          <w:rFonts w:ascii="Calibri" w:hAnsi="Calibri"/>
          <w:b/>
          <w:color w:val="2B547E"/>
          <w:sz w:val="27"/>
        </w:rPr>
        <w:t>2.1 Panorama des Datasets Vibratoires de Référence dans la Littérature</w:t>
      </w:r>
    </w:p>
    <w:p>
      <w:pPr>
        <w:spacing w:line="276" w:lineRule="auto" w:after="100"/>
        <w:jc w:val="both"/>
      </w:pPr>
      <w:r>
        <w:rPr>
          <w:rFonts w:ascii="Calibri" w:hAnsi="Calibri"/>
          <w:color w:val="222222"/>
          <w:sz w:val="22"/>
        </w:rPr>
        <w:t>La communauté de recherche en maintenance prédictive s'appuie sur plusieurs corpus de données publiques pour benchmarker les algorithmes de détection de défauts. L'analyse critique de ces jeux de données permet de justifier le choix du banc CWRU complété par les essais run-to-failure de la NASA IMS pour notre étude expérimentale.</w:t>
      </w:r>
    </w:p>
    <w:p>
      <w:pPr>
        <w:keepNext/>
        <w:spacing w:before="200" w:after="60"/>
        <w:jc w:val="left"/>
      </w:pPr>
      <w:r>
        <w:rPr>
          <w:rFonts w:ascii="Calibri" w:hAnsi="Calibri"/>
          <w:b/>
          <w:color w:val="1B365D"/>
          <w:sz w:val="20"/>
        </w:rPr>
        <w:t xml:space="preserve">Tableau 02 — </w:t>
      </w:r>
      <w:r>
        <w:rPr>
          <w:rFonts w:ascii="Calibri" w:hAnsi="Calibri"/>
          <w:i/>
          <w:color w:val="222222"/>
          <w:sz w:val="20"/>
        </w:rPr>
        <w:t>Analyse comparative multi-critères des jeux de données de référence pour la maintenance prédictive</w:t>
      </w:r>
    </w:p>
    <w:tbl>
      <w:tblPr>
        <w:tblW w:type="auto" w:w="0"/>
        <w:jc w:val="center"/>
        <w:tblLayout w:type="fixed"/>
        <w:tblLook w:firstColumn="1" w:firstRow="1" w:lastColumn="0" w:lastRow="0" w:noHBand="0" w:noVBand="1" w:val="04A0"/>
      </w:tblPr>
      <w:tblGrid>
        <w:gridCol w:w="1817"/>
        <w:gridCol w:w="1817"/>
        <w:gridCol w:w="1817"/>
        <w:gridCol w:w="1817"/>
        <w:gridCol w:w="1817"/>
      </w:tblGrid>
      <w:tr>
        <w:trPr>
          <w:tblHeader/>
        </w:trPr>
        <w:tc>
          <w:tcPr>
            <w:tcW w:type="dxa" w:w="1728"/>
            <w:vAlign w:val="center"/>
            <w:shd w:fill="1B365D"/>
          </w:tcPr>
          <w:p>
            <w:pPr>
              <w:spacing w:before="80" w:after="80"/>
              <w:jc w:val="center"/>
            </w:pPr>
            <w:r>
              <w:rPr>
                <w:rFonts w:ascii="Calibri" w:hAnsi="Calibri"/>
                <w:b/>
                <w:color w:val="FFFFFF"/>
                <w:sz w:val="20"/>
              </w:rPr>
              <w:t>Dataset</w:t>
            </w:r>
          </w:p>
        </w:tc>
        <w:tc>
          <w:tcPr>
            <w:tcW w:type="dxa" w:w="1728"/>
            <w:vAlign w:val="center"/>
            <w:shd w:fill="1B365D"/>
          </w:tcPr>
          <w:p>
            <w:pPr>
              <w:spacing w:before="80" w:after="80"/>
              <w:jc w:val="center"/>
            </w:pPr>
            <w:r>
              <w:rPr>
                <w:rFonts w:ascii="Calibri" w:hAnsi="Calibri"/>
                <w:b/>
                <w:color w:val="FFFFFF"/>
                <w:sz w:val="20"/>
              </w:rPr>
              <w:t>Type de Signal</w:t>
            </w:r>
          </w:p>
        </w:tc>
        <w:tc>
          <w:tcPr>
            <w:tcW w:type="dxa" w:w="1872"/>
            <w:vAlign w:val="center"/>
            <w:shd w:fill="1B365D"/>
          </w:tcPr>
          <w:p>
            <w:pPr>
              <w:spacing w:before="80" w:after="80"/>
              <w:jc w:val="center"/>
            </w:pPr>
            <w:r>
              <w:rPr>
                <w:rFonts w:ascii="Calibri" w:hAnsi="Calibri"/>
                <w:b/>
                <w:color w:val="FFFFFF"/>
                <w:sz w:val="20"/>
              </w:rPr>
              <w:t>Conditions d'Essai</w:t>
            </w:r>
          </w:p>
        </w:tc>
        <w:tc>
          <w:tcPr>
            <w:tcW w:type="dxa" w:w="1872"/>
            <w:vAlign w:val="center"/>
            <w:shd w:fill="1B365D"/>
          </w:tcPr>
          <w:p>
            <w:pPr>
              <w:spacing w:before="80" w:after="80"/>
              <w:jc w:val="center"/>
            </w:pPr>
            <w:r>
              <w:rPr>
                <w:rFonts w:ascii="Calibri" w:hAnsi="Calibri"/>
                <w:b/>
                <w:color w:val="FFFFFF"/>
                <w:sz w:val="20"/>
              </w:rPr>
              <w:t>Modes de Défaillance</w:t>
            </w:r>
          </w:p>
        </w:tc>
        <w:tc>
          <w:tcPr>
            <w:tcW w:type="dxa" w:w="2160"/>
            <w:vAlign w:val="center"/>
            <w:shd w:fill="1B365D"/>
          </w:tcPr>
          <w:p>
            <w:pPr>
              <w:spacing w:before="80" w:after="80"/>
              <w:jc w:val="center"/>
            </w:pPr>
            <w:r>
              <w:rPr>
                <w:rFonts w:ascii="Calibri" w:hAnsi="Calibri"/>
                <w:b/>
                <w:color w:val="FFFFFF"/>
                <w:sz w:val="20"/>
              </w:rPr>
              <w:t>Atouts &amp; Limites</w:t>
            </w:r>
          </w:p>
        </w:tc>
      </w:tr>
      <w:tr>
        <w:tc>
          <w:tcPr>
            <w:tcW w:type="dxa" w:w="1728"/>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CWRU Bearing Data</w:t>
            </w:r>
          </w:p>
        </w:tc>
        <w:tc>
          <w:tcPr>
            <w:tcW w:type="dxa" w:w="172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Vibrations 12/48 kHz (accéléromètres)</w:t>
            </w:r>
          </w:p>
        </w:tc>
        <w:tc>
          <w:tcPr>
            <w:tcW w:type="dxa" w:w="187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4 charges moteur (0 à 3 HP), vitesse 1720-1797 RPM</w:t>
            </w:r>
          </w:p>
        </w:tc>
        <w:tc>
          <w:tcPr>
            <w:tcW w:type="dxa" w:w="187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Bague interne (BPFI), Bague externe (BPFO), Billes (BSF)</w:t>
            </w:r>
          </w:p>
        </w:tc>
        <w:tc>
          <w:tcPr>
            <w:tcW w:type="dxa" w:w="216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Standard mondial, reproductibilité parfaite. Limite : défauts créés artificiellement par électroérosion.</w:t>
            </w:r>
          </w:p>
        </w:tc>
      </w:tr>
      <w:tr>
        <w:tc>
          <w:tcPr>
            <w:tcW w:type="dxa" w:w="1728"/>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NASA IMS Bearing</w:t>
            </w:r>
          </w:p>
        </w:tc>
        <w:tc>
          <w:tcPr>
            <w:tcW w:type="dxa" w:w="172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Vibrations 20 kHz (essais d'endurance)</w:t>
            </w:r>
          </w:p>
        </w:tc>
        <w:tc>
          <w:tcPr>
            <w:tcW w:type="dxa" w:w="187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Vitesse fixe 2000 RPM, charge radiale 6000 lbs</w:t>
            </w:r>
          </w:p>
        </w:tc>
        <w:tc>
          <w:tcPr>
            <w:tcW w:type="dxa" w:w="187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Dégradation naturelle continue jusqu'à rupture (Run-to-Failure)</w:t>
            </w:r>
          </w:p>
        </w:tc>
        <w:tc>
          <w:tcPr>
            <w:tcW w:type="dxa" w:w="216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Phénomène physique d'usure réelle. Limite : absence d'états intermédiaires étiquetés avec précision.</w:t>
            </w:r>
          </w:p>
        </w:tc>
      </w:tr>
      <w:tr>
        <w:tc>
          <w:tcPr>
            <w:tcW w:type="dxa" w:w="1728"/>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PRONOSTIA (FEMTO-ST)</w:t>
            </w:r>
          </w:p>
        </w:tc>
        <w:tc>
          <w:tcPr>
            <w:tcW w:type="dxa" w:w="172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Vibrations 25.6 kHz + Température</w:t>
            </w:r>
          </w:p>
        </w:tc>
        <w:tc>
          <w:tcPr>
            <w:tcW w:type="dxa" w:w="187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Vitesse et charges dynamiques variables</w:t>
            </w:r>
          </w:p>
        </w:tc>
        <w:tc>
          <w:tcPr>
            <w:tcW w:type="dxa" w:w="187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Dégradation accélérée sous forte charge</w:t>
            </w:r>
          </w:p>
        </w:tc>
        <w:tc>
          <w:tcPr>
            <w:tcW w:type="dxa" w:w="216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Excellente richesse dynamique pour le RUL. Limite : durées d'essais très courtes (&lt; quelques heures).</w:t>
            </w:r>
          </w:p>
        </w:tc>
      </w:tr>
      <w:tr>
        <w:tc>
          <w:tcPr>
            <w:tcW w:type="dxa" w:w="1728"/>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MIMII Dataset</w:t>
            </w:r>
          </w:p>
        </w:tc>
        <w:tc>
          <w:tcPr>
            <w:tcW w:type="dxa" w:w="172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Acoustique / Audio (microphones)</w:t>
            </w:r>
          </w:p>
        </w:tc>
        <w:tc>
          <w:tcPr>
            <w:tcW w:type="dxa" w:w="187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4 types d'équipements (pompes, vannes, rails)</w:t>
            </w:r>
          </w:p>
        </w:tc>
        <w:tc>
          <w:tcPr>
            <w:tcW w:type="dxa" w:w="187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Usure globale et anomalies sonores</w:t>
            </w:r>
          </w:p>
        </w:tc>
        <w:tc>
          <w:tcPr>
            <w:tcW w:type="dxa" w:w="216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Non invasif. Limite : très forte sensibilité au bruit ambiant d'atelier d'usinage.</w:t>
            </w:r>
          </w:p>
        </w:tc>
      </w:tr>
      <w:tr>
        <w:tc>
          <w:tcPr>
            <w:tcW w:type="dxa" w:w="1728"/>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SWaT / WADI</w:t>
            </w:r>
          </w:p>
        </w:tc>
        <w:tc>
          <w:tcPr>
            <w:tcW w:type="dxa" w:w="172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Séries multivariées (51 capteurs IIoT)</w:t>
            </w:r>
          </w:p>
        </w:tc>
        <w:tc>
          <w:tcPr>
            <w:tcW w:type="dxa" w:w="187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Banc pilote de traitement des eaux en continu</w:t>
            </w:r>
          </w:p>
        </w:tc>
        <w:tc>
          <w:tcPr>
            <w:tcW w:type="dxa" w:w="187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Cyberattaques physiques et anomalies process</w:t>
            </w:r>
          </w:p>
        </w:tc>
        <w:tc>
          <w:tcPr>
            <w:tcW w:type="dxa" w:w="216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Très réaliste pour la cybersécurité IIoT. Limite : accès restreint sur convention académique.</w:t>
            </w:r>
          </w:p>
        </w:tc>
      </w:tr>
    </w:tbl>
    <w:p>
      <w:pPr>
        <w:spacing w:after="120"/>
      </w:pPr>
    </w:p>
    <w:p>
      <w:pPr>
        <w:keepNext/>
        <w:spacing w:before="240" w:after="80"/>
      </w:pPr>
      <w:r>
        <w:rPr>
          <w:rFonts w:ascii="Calibri" w:hAnsi="Calibri"/>
          <w:b/>
          <w:color w:val="2B547E"/>
          <w:sz w:val="27"/>
        </w:rPr>
        <w:t>2.2 Fondements Physiques Vibratoires et Équations Cinématiques des Défauts</w:t>
      </w:r>
    </w:p>
    <w:p>
      <w:pPr>
        <w:spacing w:line="276" w:lineRule="auto" w:after="100"/>
        <w:jc w:val="both"/>
      </w:pPr>
      <w:r>
        <w:rPr>
          <w:rFonts w:ascii="Calibri" w:hAnsi="Calibri"/>
          <w:color w:val="222222"/>
          <w:sz w:val="22"/>
        </w:rPr>
        <w:t>Lorsqu'un défaut localisé apparaît sur une surface de roulement, chaque impact produit une impulsion mécanique périodique. La théorie cinématique du contact élastodynamique permet de calculer avec exactitude les fréquences fondamentales de défaut en fonction de la géométrie du roulement et de la vitesse de rotation de l'arbre $f_r$ (en Hz) :</w:t>
      </w:r>
    </w:p>
    <w:p>
      <w:pPr>
        <w:spacing w:line="276" w:lineRule="auto" w:after="100"/>
        <w:jc w:val="both"/>
      </w:pPr>
      <w:r>
        <w:rPr>
          <w:rFonts w:ascii="Calibri" w:hAnsi="Calibri"/>
          <w:b/>
          <w:color w:val="1B365D"/>
          <w:sz w:val="22"/>
        </w:rPr>
        <w:t xml:space="preserve">Formules Cinématiques Fondamentales : </w:t>
      </w:r>
      <w:r>
        <w:rPr>
          <w:rFonts w:ascii="Calibri" w:hAnsi="Calibri"/>
          <w:color w:val="222222"/>
          <w:sz w:val="22"/>
        </w:rPr>
        <w:t>1. Fréquence de passage sur la bague externe (Ball Pass Frequency Outer Race - BPFO) :</w:t>
        <w:br/>
        <w:t xml:space="preserve">   $$BPFO = \frac{N_b}{2} \cdot f_r \cdot \left( 1 - \frac{d}{D} \cos \alpha \right)$$</w:t>
        <w:br/>
        <w:br/>
        <w:t>2. Fréquence de passage sur la bague interne (Ball Pass Frequency Inner Race - BPFI) :</w:t>
        <w:br/>
        <w:t xml:space="preserve">   $$BPFI = \frac{N_b}{2} \cdot f_r \cdot \left( 1 + \frac{d}{D} \cos \alpha \right)$$</w:t>
        <w:br/>
        <w:br/>
        <w:t>3. Fréquence de rotation propre de la bille (Ball Spin Frequency - BSF) :</w:t>
        <w:br/>
        <w:t xml:space="preserve">   $$BSF = \frac{D}{2d} \cdot f_r \cdot \left( 1 - \left( \frac{d}{D} \cos \alpha \right)^2 \right)$$</w:t>
        <w:br/>
        <w:br/>
        <w:t>4. Fréquence de rotation de la cage (Fundamental Train Frequency - FTF) :</w:t>
        <w:br/>
        <w:t xml:space="preserve">   $$FTF = \frac{1}{2} \cdot f_r \cdot \left( 1 - \frac{d}{D} \cos \alpha \right)$$</w:t>
      </w:r>
    </w:p>
    <w:p>
      <w:pPr>
        <w:spacing w:line="276" w:lineRule="auto" w:after="100"/>
        <w:jc w:val="both"/>
      </w:pPr>
      <w:r>
        <w:rPr>
          <w:rFonts w:ascii="Calibri" w:hAnsi="Calibri"/>
          <w:color w:val="222222"/>
          <w:sz w:val="22"/>
        </w:rPr>
        <w:t>Où $N_b$ représente le nombre de billes, $d$ le diamètre de la bille, $D$ le diamètre primitif du roulement (Pitch Diameter), $\alpha$ l'angle de contact mécanique, et $f_r$ la fréquence de rotation de l'arbre ($f_r = \text{RPM} / 60$). Pour le roulement de référence SKF 6205-2RS instrumenté sur le banc CWRU à une vitesse nominale de 1797 RPM ($f_r = 29.95$ Hz), les grandeurs cinématiques exactes sont récapitulées dans le Tableau 03.</w:t>
      </w:r>
    </w:p>
    <w:p>
      <w:pPr>
        <w:keepNext/>
        <w:spacing w:before="200" w:after="60"/>
        <w:jc w:val="left"/>
      </w:pPr>
      <w:r>
        <w:rPr>
          <w:rFonts w:ascii="Calibri" w:hAnsi="Calibri"/>
          <w:b/>
          <w:color w:val="1B365D"/>
          <w:sz w:val="20"/>
        </w:rPr>
        <w:t xml:space="preserve">Tableau 03 — </w:t>
      </w:r>
      <w:r>
        <w:rPr>
          <w:rFonts w:ascii="Calibri" w:hAnsi="Calibri"/>
          <w:i/>
          <w:color w:val="222222"/>
          <w:sz w:val="20"/>
        </w:rPr>
        <w:t>Paramètres géométriques et fréquences caractéristiques de défaut du roulement SKF 6205-2RS à 1797 RPM</w:t>
      </w:r>
    </w:p>
    <w:tbl>
      <w:tblPr>
        <w:tblW w:type="auto" w:w="0"/>
        <w:jc w:val="center"/>
        <w:tblLayout w:type="fixed"/>
        <w:tblLook w:firstColumn="1" w:firstRow="1" w:lastColumn="0" w:lastRow="0" w:noHBand="0" w:noVBand="1" w:val="04A0"/>
      </w:tblPr>
      <w:tblGrid>
        <w:gridCol w:w="2272"/>
        <w:gridCol w:w="2272"/>
        <w:gridCol w:w="2272"/>
        <w:gridCol w:w="2272"/>
      </w:tblGrid>
      <w:tr>
        <w:trPr>
          <w:tblHeader/>
        </w:trPr>
        <w:tc>
          <w:tcPr>
            <w:tcW w:type="dxa" w:w="3168"/>
            <w:vAlign w:val="center"/>
            <w:shd w:fill="1B365D"/>
          </w:tcPr>
          <w:p>
            <w:pPr>
              <w:spacing w:before="80" w:after="80"/>
              <w:jc w:val="center"/>
            </w:pPr>
            <w:r>
              <w:rPr>
                <w:rFonts w:ascii="Calibri" w:hAnsi="Calibri"/>
                <w:b/>
                <w:color w:val="FFFFFF"/>
                <w:sz w:val="20"/>
              </w:rPr>
              <w:t>Paramètre Mécanique</w:t>
            </w:r>
          </w:p>
        </w:tc>
        <w:tc>
          <w:tcPr>
            <w:tcW w:type="dxa" w:w="1296"/>
            <w:vAlign w:val="center"/>
            <w:shd w:fill="1B365D"/>
          </w:tcPr>
          <w:p>
            <w:pPr>
              <w:spacing w:before="80" w:after="80"/>
              <w:jc w:val="center"/>
            </w:pPr>
            <w:r>
              <w:rPr>
                <w:rFonts w:ascii="Calibri" w:hAnsi="Calibri"/>
                <w:b/>
                <w:color w:val="FFFFFF"/>
                <w:sz w:val="20"/>
              </w:rPr>
              <w:t>Symbole</w:t>
            </w:r>
          </w:p>
        </w:tc>
        <w:tc>
          <w:tcPr>
            <w:tcW w:type="dxa" w:w="1728"/>
            <w:vAlign w:val="center"/>
            <w:shd w:fill="1B365D"/>
          </w:tcPr>
          <w:p>
            <w:pPr>
              <w:spacing w:before="80" w:after="80"/>
              <w:jc w:val="center"/>
            </w:pPr>
            <w:r>
              <w:rPr>
                <w:rFonts w:ascii="Calibri" w:hAnsi="Calibri"/>
                <w:b/>
                <w:color w:val="FFFFFF"/>
                <w:sz w:val="20"/>
              </w:rPr>
              <w:t>Valeur Numérique</w:t>
            </w:r>
          </w:p>
        </w:tc>
        <w:tc>
          <w:tcPr>
            <w:tcW w:type="dxa" w:w="3168"/>
            <w:vAlign w:val="center"/>
            <w:shd w:fill="1B365D"/>
          </w:tcPr>
          <w:p>
            <w:pPr>
              <w:spacing w:before="80" w:after="80"/>
              <w:jc w:val="center"/>
            </w:pPr>
            <w:r>
              <w:rPr>
                <w:rFonts w:ascii="Calibri" w:hAnsi="Calibri"/>
                <w:b/>
                <w:color w:val="FFFFFF"/>
                <w:sz w:val="20"/>
              </w:rPr>
              <w:t>Unité / Définition</w:t>
            </w:r>
          </w:p>
        </w:tc>
      </w:tr>
      <w:tr>
        <w:tc>
          <w:tcPr>
            <w:tcW w:type="dxa" w:w="3168"/>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Diamètre d'alésage intérieur</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d_in</w:t>
            </w:r>
          </w:p>
        </w:tc>
        <w:tc>
          <w:tcPr>
            <w:tcW w:type="dxa" w:w="172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25.0</w:t>
            </w:r>
          </w:p>
        </w:tc>
        <w:tc>
          <w:tcPr>
            <w:tcW w:type="dxa" w:w="316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mm</w:t>
            </w:r>
          </w:p>
        </w:tc>
      </w:tr>
      <w:tr>
        <w:tc>
          <w:tcPr>
            <w:tcW w:type="dxa" w:w="3168"/>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Diamètre extérieur du palier</w:t>
            </w:r>
          </w:p>
        </w:tc>
        <w:tc>
          <w:tcPr>
            <w:tcW w:type="dxa" w:w="1296"/>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d_out</w:t>
            </w:r>
          </w:p>
        </w:tc>
        <w:tc>
          <w:tcPr>
            <w:tcW w:type="dxa" w:w="172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52.0</w:t>
            </w:r>
          </w:p>
        </w:tc>
        <w:tc>
          <w:tcPr>
            <w:tcW w:type="dxa" w:w="316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mm</w:t>
            </w:r>
          </w:p>
        </w:tc>
      </w:tr>
      <w:tr>
        <w:tc>
          <w:tcPr>
            <w:tcW w:type="dxa" w:w="3168"/>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Diamètre primitif moyen</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D</w:t>
            </w:r>
          </w:p>
        </w:tc>
        <w:tc>
          <w:tcPr>
            <w:tcW w:type="dxa" w:w="172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39.04</w:t>
            </w:r>
          </w:p>
        </w:tc>
        <w:tc>
          <w:tcPr>
            <w:tcW w:type="dxa" w:w="316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mm (Pitch Diameter)</w:t>
            </w:r>
          </w:p>
        </w:tc>
      </w:tr>
      <w:tr>
        <w:tc>
          <w:tcPr>
            <w:tcW w:type="dxa" w:w="3168"/>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Diamètre des éléments roulants (billes)</w:t>
            </w:r>
          </w:p>
        </w:tc>
        <w:tc>
          <w:tcPr>
            <w:tcW w:type="dxa" w:w="1296"/>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d</w:t>
            </w:r>
          </w:p>
        </w:tc>
        <w:tc>
          <w:tcPr>
            <w:tcW w:type="dxa" w:w="172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7.94</w:t>
            </w:r>
          </w:p>
        </w:tc>
        <w:tc>
          <w:tcPr>
            <w:tcW w:type="dxa" w:w="316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mm (0.3125 pouce)</w:t>
            </w:r>
          </w:p>
        </w:tc>
      </w:tr>
      <w:tr>
        <w:tc>
          <w:tcPr>
            <w:tcW w:type="dxa" w:w="3168"/>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Nombre d'éléments roulants</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N_b</w:t>
            </w:r>
          </w:p>
        </w:tc>
        <w:tc>
          <w:tcPr>
            <w:tcW w:type="dxa" w:w="172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9</w:t>
            </w:r>
          </w:p>
        </w:tc>
        <w:tc>
          <w:tcPr>
            <w:tcW w:type="dxa" w:w="316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billes</w:t>
            </w:r>
          </w:p>
        </w:tc>
      </w:tr>
      <w:tr>
        <w:tc>
          <w:tcPr>
            <w:tcW w:type="dxa" w:w="3168"/>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Angle de contact opérationnel</w:t>
            </w:r>
          </w:p>
        </w:tc>
        <w:tc>
          <w:tcPr>
            <w:tcW w:type="dxa" w:w="1296"/>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alpha</w:t>
            </w:r>
          </w:p>
        </w:tc>
        <w:tc>
          <w:tcPr>
            <w:tcW w:type="dxa" w:w="172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0.0</w:t>
            </w:r>
          </w:p>
        </w:tc>
        <w:tc>
          <w:tcPr>
            <w:tcW w:type="dxa" w:w="316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degrés (charge purement radiale)</w:t>
            </w:r>
          </w:p>
        </w:tc>
      </w:tr>
      <w:tr>
        <w:tc>
          <w:tcPr>
            <w:tcW w:type="dxa" w:w="3168"/>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Fréquence de passage bague externe</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BPFO</w:t>
            </w:r>
          </w:p>
        </w:tc>
        <w:tc>
          <w:tcPr>
            <w:tcW w:type="dxa" w:w="172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107.4</w:t>
            </w:r>
          </w:p>
        </w:tc>
        <w:tc>
          <w:tcPr>
            <w:tcW w:type="dxa" w:w="316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Hz (3.58 x f_r)</w:t>
            </w:r>
          </w:p>
        </w:tc>
      </w:tr>
      <w:tr>
        <w:tc>
          <w:tcPr>
            <w:tcW w:type="dxa" w:w="3168"/>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Fréquence de passage bague interne</w:t>
            </w:r>
          </w:p>
        </w:tc>
        <w:tc>
          <w:tcPr>
            <w:tcW w:type="dxa" w:w="1296"/>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BPFI</w:t>
            </w:r>
          </w:p>
        </w:tc>
        <w:tc>
          <w:tcPr>
            <w:tcW w:type="dxa" w:w="172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162.2</w:t>
            </w:r>
          </w:p>
        </w:tc>
        <w:tc>
          <w:tcPr>
            <w:tcW w:type="dxa" w:w="316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Hz (5.41 x f_r)</w:t>
            </w:r>
          </w:p>
        </w:tc>
      </w:tr>
      <w:tr>
        <w:tc>
          <w:tcPr>
            <w:tcW w:type="dxa" w:w="3168"/>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Fréquence de rotation propre de bille</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BSF</w:t>
            </w:r>
          </w:p>
        </w:tc>
        <w:tc>
          <w:tcPr>
            <w:tcW w:type="dxa" w:w="172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47.1</w:t>
            </w:r>
          </w:p>
        </w:tc>
        <w:tc>
          <w:tcPr>
            <w:tcW w:type="dxa" w:w="316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Hz (2.35 x f_r)</w:t>
            </w:r>
          </w:p>
        </w:tc>
      </w:tr>
      <w:tr>
        <w:tc>
          <w:tcPr>
            <w:tcW w:type="dxa" w:w="3168"/>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Fréquence fondamentale de cage</w:t>
            </w:r>
          </w:p>
        </w:tc>
        <w:tc>
          <w:tcPr>
            <w:tcW w:type="dxa" w:w="1296"/>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FTF</w:t>
            </w:r>
          </w:p>
        </w:tc>
        <w:tc>
          <w:tcPr>
            <w:tcW w:type="dxa" w:w="172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11.9</w:t>
            </w:r>
          </w:p>
        </w:tc>
        <w:tc>
          <w:tcPr>
            <w:tcW w:type="dxa" w:w="316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Hz (0.398 x f_r)</w:t>
            </w:r>
          </w:p>
        </w:tc>
      </w:tr>
    </w:tbl>
    <w:p>
      <w:pPr>
        <w:spacing w:after="120"/>
      </w:pPr>
    </w:p>
    <w:p>
      <w:pPr>
        <w:keepNext/>
        <w:spacing w:before="200" w:after="60"/>
        <w:jc w:val="left"/>
      </w:pPr>
      <w:r>
        <w:rPr>
          <w:rFonts w:ascii="Calibri" w:hAnsi="Calibri"/>
          <w:b/>
          <w:color w:val="1B365D"/>
          <w:sz w:val="20"/>
        </w:rPr>
        <w:t xml:space="preserve">Tableau 04 — </w:t>
      </w:r>
      <w:r>
        <w:rPr>
          <w:rFonts w:ascii="Calibri" w:hAnsi="Calibri"/>
          <w:i/>
          <w:color w:val="222222"/>
          <w:sz w:val="20"/>
        </w:rPr>
        <w:t>Seuils vibratoires globaux selon la norme internationale ISO 10816-3 (Machines de Classe I et II)</w:t>
      </w:r>
    </w:p>
    <w:tbl>
      <w:tblPr>
        <w:tblW w:type="auto" w:w="0"/>
        <w:jc w:val="center"/>
        <w:tblLayout w:type="fixed"/>
        <w:tblLook w:firstColumn="1" w:firstRow="1" w:lastColumn="0" w:lastRow="0" w:noHBand="0" w:noVBand="1" w:val="04A0"/>
      </w:tblPr>
      <w:tblGrid>
        <w:gridCol w:w="2272"/>
        <w:gridCol w:w="2272"/>
        <w:gridCol w:w="2272"/>
        <w:gridCol w:w="2272"/>
      </w:tblGrid>
      <w:tr>
        <w:trPr>
          <w:tblHeader/>
        </w:trPr>
        <w:tc>
          <w:tcPr>
            <w:tcW w:type="dxa" w:w="2016"/>
            <w:vAlign w:val="center"/>
            <w:shd w:fill="1B365D"/>
          </w:tcPr>
          <w:p>
            <w:pPr>
              <w:spacing w:before="80" w:after="80"/>
              <w:jc w:val="center"/>
            </w:pPr>
            <w:r>
              <w:rPr>
                <w:rFonts w:ascii="Calibri" w:hAnsi="Calibri"/>
                <w:b/>
                <w:color w:val="FFFFFF"/>
                <w:sz w:val="20"/>
              </w:rPr>
              <w:t>Zone de Sévérité</w:t>
            </w:r>
          </w:p>
        </w:tc>
        <w:tc>
          <w:tcPr>
            <w:tcW w:type="dxa" w:w="2304"/>
            <w:vAlign w:val="center"/>
            <w:shd w:fill="1B365D"/>
          </w:tcPr>
          <w:p>
            <w:pPr>
              <w:spacing w:before="80" w:after="80"/>
              <w:jc w:val="center"/>
            </w:pPr>
            <w:r>
              <w:rPr>
                <w:rFonts w:ascii="Calibri" w:hAnsi="Calibri"/>
                <w:b/>
                <w:color w:val="FFFFFF"/>
                <w:sz w:val="20"/>
              </w:rPr>
              <w:t>Vitesse Efficace RMS (mm/s)</w:t>
            </w:r>
          </w:p>
        </w:tc>
        <w:tc>
          <w:tcPr>
            <w:tcW w:type="dxa" w:w="2592"/>
            <w:vAlign w:val="center"/>
            <w:shd w:fill="1B365D"/>
          </w:tcPr>
          <w:p>
            <w:pPr>
              <w:spacing w:before="80" w:after="80"/>
              <w:jc w:val="center"/>
            </w:pPr>
            <w:r>
              <w:rPr>
                <w:rFonts w:ascii="Calibri" w:hAnsi="Calibri"/>
                <w:b/>
                <w:color w:val="FFFFFF"/>
                <w:sz w:val="20"/>
              </w:rPr>
              <w:t>État de la Machine</w:t>
            </w:r>
          </w:p>
        </w:tc>
        <w:tc>
          <w:tcPr>
            <w:tcW w:type="dxa" w:w="2448"/>
            <w:vAlign w:val="center"/>
            <w:shd w:fill="1B365D"/>
          </w:tcPr>
          <w:p>
            <w:pPr>
              <w:spacing w:before="80" w:after="80"/>
              <w:jc w:val="center"/>
            </w:pPr>
            <w:r>
              <w:rPr>
                <w:rFonts w:ascii="Calibri" w:hAnsi="Calibri"/>
                <w:b/>
                <w:color w:val="FFFFFF"/>
                <w:sz w:val="20"/>
              </w:rPr>
              <w:t>Action Technique Préconisée</w:t>
            </w:r>
          </w:p>
        </w:tc>
      </w:tr>
      <w:tr>
        <w:tc>
          <w:tcPr>
            <w:tcW w:type="dxa" w:w="2016"/>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Zone A (Vert)</w:t>
            </w:r>
          </w:p>
        </w:tc>
        <w:tc>
          <w:tcPr>
            <w:tcW w:type="dxa" w:w="230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&lt; 1.4 mm/s</w:t>
            </w:r>
          </w:p>
        </w:tc>
        <w:tc>
          <w:tcPr>
            <w:tcW w:type="dxa" w:w="259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Machine neuve ou venant d'être révisée</w:t>
            </w:r>
          </w:p>
        </w:tc>
        <w:tc>
          <w:tcPr>
            <w:tcW w:type="dxa" w:w="244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Fonctionnement optimal sans restriction.</w:t>
            </w:r>
          </w:p>
        </w:tc>
      </w:tr>
      <w:tr>
        <w:tc>
          <w:tcPr>
            <w:tcW w:type="dxa" w:w="2016"/>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Zone B (Jaune)</w:t>
            </w:r>
          </w:p>
        </w:tc>
        <w:tc>
          <w:tcPr>
            <w:tcW w:type="dxa" w:w="2304"/>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1.4 à 2.8 mm/s</w:t>
            </w:r>
          </w:p>
        </w:tc>
        <w:tc>
          <w:tcPr>
            <w:tcW w:type="dxa" w:w="259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Fonctionnement normal admissible</w:t>
            </w:r>
          </w:p>
        </w:tc>
        <w:tc>
          <w:tcPr>
            <w:tcW w:type="dxa" w:w="244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Exploitation continue autorisée à long terme.</w:t>
            </w:r>
          </w:p>
        </w:tc>
      </w:tr>
      <w:tr>
        <w:tc>
          <w:tcPr>
            <w:tcW w:type="dxa" w:w="2016"/>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Zone C (Orange)</w:t>
            </w:r>
          </w:p>
        </w:tc>
        <w:tc>
          <w:tcPr>
            <w:tcW w:type="dxa" w:w="230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2.8 à 4.5 mm/s</w:t>
            </w:r>
          </w:p>
        </w:tc>
        <w:tc>
          <w:tcPr>
            <w:tcW w:type="dxa" w:w="259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Fonctionnement dégradé non admissible</w:t>
            </w:r>
          </w:p>
        </w:tc>
        <w:tc>
          <w:tcPr>
            <w:tcW w:type="dxa" w:w="244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Planifier une intervention de maintenance sous 48h.</w:t>
            </w:r>
          </w:p>
        </w:tc>
      </w:tr>
      <w:tr>
        <w:tc>
          <w:tcPr>
            <w:tcW w:type="dxa" w:w="2016"/>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Zone D (Rouge)</w:t>
            </w:r>
          </w:p>
        </w:tc>
        <w:tc>
          <w:tcPr>
            <w:tcW w:type="dxa" w:w="2304"/>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&gt; 4.5 mm/s</w:t>
            </w:r>
          </w:p>
        </w:tc>
        <w:tc>
          <w:tcPr>
            <w:tcW w:type="dxa" w:w="259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Vibrations dangereuses, risque de rupture</w:t>
            </w:r>
          </w:p>
        </w:tc>
        <w:tc>
          <w:tcPr>
            <w:tcW w:type="dxa" w:w="244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Arrêt d'urgence immédiat et consignation LOTO.</w:t>
            </w:r>
          </w:p>
        </w:tc>
      </w:tr>
    </w:tbl>
    <w:p>
      <w:pPr>
        <w:spacing w:after="120"/>
      </w:pPr>
    </w:p>
    <w:p>
      <w:pPr>
        <w:keepNext/>
        <w:spacing w:before="240" w:after="80"/>
      </w:pPr>
      <w:r>
        <w:rPr>
          <w:rFonts w:ascii="Calibri" w:hAnsi="Calibri"/>
          <w:b/>
          <w:color w:val="2B547E"/>
          <w:sz w:val="27"/>
        </w:rPr>
        <w:t>2.3 Algorithmes d'Apprentissage Automatique pour la Détection d'Anomalies</w:t>
      </w:r>
    </w:p>
    <w:p>
      <w:pPr>
        <w:spacing w:line="276" w:lineRule="auto" w:after="100"/>
        <w:jc w:val="both"/>
      </w:pPr>
      <w:r>
        <w:rPr>
          <w:rFonts w:ascii="Calibri" w:hAnsi="Calibri"/>
          <w:color w:val="222222"/>
          <w:sz w:val="22"/>
        </w:rPr>
        <w:t>La littérature académique recense trois grandes familles d'approches algorithmiques pour la détection et la classification d'anomalies :</w:t>
      </w:r>
    </w:p>
    <w:p>
      <w:pPr>
        <w:pStyle w:val="ListBullet"/>
        <w:spacing w:line="276" w:lineRule="auto" w:after="60"/>
        <w:jc w:val="both"/>
      </w:pPr>
      <w:r>
        <w:rPr>
          <w:rFonts w:ascii="Calibri" w:hAnsi="Calibri"/>
          <w:b/>
          <w:color w:val="2B547E"/>
          <w:sz w:val="22"/>
        </w:rPr>
        <w:t xml:space="preserve">Machine Learning Classique Supervisé : </w:t>
      </w:r>
      <w:r>
        <w:rPr>
          <w:rFonts w:ascii="Calibri" w:hAnsi="Calibri"/>
          <w:color w:val="222222"/>
          <w:sz w:val="22"/>
        </w:rPr>
        <w:t>Les forêts aléatoires (Random Forest) et les arbres stimulés par gradient (Gradient Boosting / XGBoost) combinés à une extraction de caractéristiques expertes. Ils dominent historiquement par leur compacité mémoire, leur faible coût computationnel et leur grande interprétabilité.</w:t>
      </w:r>
    </w:p>
    <w:p>
      <w:pPr>
        <w:pStyle w:val="ListBullet"/>
        <w:spacing w:line="276" w:lineRule="auto" w:after="60"/>
        <w:jc w:val="both"/>
      </w:pPr>
      <w:r>
        <w:rPr>
          <w:rFonts w:ascii="Calibri" w:hAnsi="Calibri"/>
          <w:b/>
          <w:color w:val="2B547E"/>
          <w:sz w:val="22"/>
        </w:rPr>
        <w:t xml:space="preserve">Deep Learning End-to-End : </w:t>
      </w:r>
      <w:r>
        <w:rPr>
          <w:rFonts w:ascii="Calibri" w:hAnsi="Calibri"/>
          <w:color w:val="222222"/>
          <w:sz w:val="22"/>
        </w:rPr>
        <w:t>Réseaux convolutifs 1D (1D-CNN), réseaux récurrents (LSTM) et architectures Transformer temporelles (PatchTST). Capables d'apprendre des représentations hiérarchiques directement depuis les signaux bruts, ils exigent toutefois des ressources de calcul prohibitives pour l'embarqué sans accélération matérielle.</w:t>
      </w:r>
    </w:p>
    <w:p>
      <w:pPr>
        <w:pStyle w:val="ListBullet"/>
        <w:spacing w:line="276" w:lineRule="auto" w:after="60"/>
        <w:jc w:val="both"/>
      </w:pPr>
      <w:r>
        <w:rPr>
          <w:rFonts w:ascii="Calibri" w:hAnsi="Calibri"/>
          <w:b/>
          <w:color w:val="2B547E"/>
          <w:sz w:val="22"/>
        </w:rPr>
        <w:t xml:space="preserve">Apprentissage Non Supervisé / Semi-Supervisé : </w:t>
      </w:r>
      <w:r>
        <w:rPr>
          <w:rFonts w:ascii="Calibri" w:hAnsi="Calibri"/>
          <w:color w:val="222222"/>
          <w:sz w:val="22"/>
        </w:rPr>
        <w:t>Isolation Forest, One-Class SVM et Autoencodeurs neuronaux. Entraînés exclusivement sur des données saines, ils détectent les dérives par rapport à la normale via une métrique de distance ou une erreur de reconstruction (MSE).</w:t>
      </w:r>
    </w:p>
    <w:p>
      <w:pPr>
        <w:keepNext/>
        <w:spacing w:before="240" w:after="80"/>
      </w:pPr>
      <w:r>
        <w:rPr>
          <w:rFonts w:ascii="Calibri" w:hAnsi="Calibri"/>
          <w:b/>
          <w:color w:val="2B547E"/>
          <w:sz w:val="27"/>
        </w:rPr>
        <w:t>2.4 Technologies d'Optimisation et de Déploiement Embarqué Edge AI</w:t>
      </w:r>
    </w:p>
    <w:p>
      <w:pPr>
        <w:spacing w:line="276" w:lineRule="auto" w:after="100"/>
        <w:jc w:val="both"/>
      </w:pPr>
      <w:r>
        <w:rPr>
          <w:rFonts w:ascii="Calibri" w:hAnsi="Calibri"/>
          <w:color w:val="222222"/>
          <w:sz w:val="22"/>
        </w:rPr>
        <w:t>Le déploiement sur nano-calculateur requiert des techniques d'optimisation spécifiques : la quantification post-entraînement (passage des poids de FP32 à INT8), l'élagage structurel (pruning) et l'exploitation de moteurs d'inférence légers tels que ONNX Runtime, TensorFlow Lite ou des frameworks compilés C/C++ (Treelite). Les revues récentes indiquent que la quantification INT8 permet de diviser par quatre la consommation mémoire tout en accélérant l'inférence d'un facteur 2 à 3 sur architecture ARM Cortex-A72, avec une dégradation de précision généralement inférieure à 0.5 %.</w:t>
      </w:r>
    </w:p>
    <w:p>
      <w:pPr>
        <w:keepNext/>
        <w:spacing w:before="240" w:after="80"/>
      </w:pPr>
      <w:r>
        <w:rPr>
          <w:rFonts w:ascii="Calibri" w:hAnsi="Calibri"/>
          <w:b/>
          <w:color w:val="2B547E"/>
          <w:sz w:val="27"/>
        </w:rPr>
        <w:t>2.5 L'Explicabilité (XAI) dans les Processus Industriels Critiques</w:t>
      </w:r>
    </w:p>
    <w:p>
      <w:pPr>
        <w:spacing w:line="276" w:lineRule="auto" w:after="100"/>
        <w:jc w:val="both"/>
      </w:pPr>
      <w:r>
        <w:rPr>
          <w:rFonts w:ascii="Calibri" w:hAnsi="Calibri"/>
          <w:color w:val="222222"/>
          <w:sz w:val="22"/>
        </w:rPr>
        <w:t>L'adoption de l'IA par les équipes d'exploitation industrielle exige une totale transparence des prédictions. Deux méthodes dominent la littérature : SHAP (Shapley Additive exPlanations), fondée sur la théorie des jeux coopératifs pour attribuer à chaque variable une contribution additive équitable, et LIME (Local Interpretable Model-agnostic Explanations), qui approxime localement la frontière de décision par un modèle linéaire. Toutefois, le calcul exact des valeurs SHAP s'avère extrêmement coûteux en temps de calcul sur processeur embarqué. Une approche prometteuse consiste à combiner l'importance intrinsèque des arbres de décision avec une analyse différentielle par Z-scores par rapport au profil sain de référence.</w:t>
      </w:r>
    </w:p>
    <w:p>
      <w:pPr>
        <w:keepNext/>
        <w:spacing w:before="240" w:after="80"/>
      </w:pPr>
      <w:r>
        <w:rPr>
          <w:rFonts w:ascii="Calibri" w:hAnsi="Calibri"/>
          <w:b/>
          <w:color w:val="2B547E"/>
          <w:sz w:val="27"/>
        </w:rPr>
        <w:t>2.6 L'Avènement des Agents Intelligents et du RAG pour le Diagnostic IIoT</w:t>
      </w:r>
    </w:p>
    <w:p>
      <w:pPr>
        <w:spacing w:line="276" w:lineRule="auto" w:after="100"/>
        <w:jc w:val="both"/>
      </w:pPr>
      <w:r>
        <w:rPr>
          <w:rFonts w:ascii="Calibri" w:hAnsi="Calibri"/>
          <w:color w:val="222222"/>
          <w:sz w:val="22"/>
        </w:rPr>
        <w:t>L'émergence des modèles de langage de grande taille (LLM) et des architectures RAG (Retrieval-Augmented Generation) en 2024-2026 ouvre une perspective inédite pour l'assistance technique. Des frameworks industriels pionniers tels que MindRAG structurent les manuels constructeurs, les historiques de pannes et les schémas cinématiques dans une base vectorielle dense. Lorsqu'une alerte vibratoire est déclenchée, l'agent RAG récupère les chunks documentaires les plus similaires pour synthétiser un rapport d'intervention complet et factuel, éliminant tout risque d'hallucination en contraignant la réponse aux documents sources vérifiés.</w:t>
      </w:r>
    </w:p>
    <w:p>
      <w:pPr>
        <w:keepNext/>
        <w:spacing w:before="240" w:after="80"/>
      </w:pPr>
      <w:r>
        <w:rPr>
          <w:rFonts w:ascii="Calibri" w:hAnsi="Calibri"/>
          <w:b/>
          <w:color w:val="2B547E"/>
          <w:sz w:val="27"/>
        </w:rPr>
        <w:t>2.7 Synthèse Critique, Limites des Approches Existantes et Identification des Gaps</w:t>
      </w:r>
    </w:p>
    <w:p>
      <w:pPr>
        <w:spacing w:line="276" w:lineRule="auto" w:after="100"/>
        <w:jc w:val="both"/>
      </w:pPr>
      <w:r>
        <w:rPr>
          <w:rFonts w:ascii="Calibri" w:hAnsi="Calibri"/>
          <w:b/>
          <w:color w:val="1B365D"/>
          <w:sz w:val="22"/>
        </w:rPr>
        <w:t xml:space="preserve">Identification des Gaps de Recherche : </w:t>
      </w:r>
      <w:r>
        <w:rPr>
          <w:rFonts w:ascii="Calibri" w:hAnsi="Calibri"/>
          <w:color w:val="222222"/>
          <w:sz w:val="22"/>
        </w:rPr>
        <w:t>L'analyse approfondie de plus de 35 publications récentes permet de dégager trois gaps scientifiques et technologiques majeurs qui justifient la contribution singulière de ce projet de stage :</w:t>
      </w:r>
    </w:p>
    <w:p>
      <w:pPr>
        <w:pStyle w:val="ListBullet"/>
        <w:spacing w:line="276" w:lineRule="auto" w:after="60"/>
        <w:jc w:val="both"/>
      </w:pPr>
      <w:r>
        <w:rPr>
          <w:rFonts w:ascii="Calibri" w:hAnsi="Calibri"/>
          <w:b/>
          <w:color w:val="2B547E"/>
          <w:sz w:val="22"/>
        </w:rPr>
        <w:t xml:space="preserve">Gap 1 — Absence de benchmark matériel resource-aware complet : </w:t>
      </w:r>
      <w:r>
        <w:rPr>
          <w:rFonts w:ascii="Calibri" w:hAnsi="Calibri"/>
          <w:color w:val="222222"/>
          <w:sz w:val="22"/>
        </w:rPr>
        <w:t>La très grande majorité des études publie des métriques algorithmiques théoriques (Accuracy, AUC) calculées sur des serveurs PC puissants (GPU Nvidia), sans jamais profiler la latence réelle, l'usage CPU, l'empreinte RAM dynamique et la dérive thermique sur une cible matérielle représentative telle qu'un Raspberry Pi en conditions de streaming continu.</w:t>
      </w:r>
    </w:p>
    <w:p>
      <w:pPr>
        <w:pStyle w:val="ListBullet"/>
        <w:spacing w:line="276" w:lineRule="auto" w:after="60"/>
        <w:jc w:val="both"/>
      </w:pPr>
      <w:r>
        <w:rPr>
          <w:rFonts w:ascii="Calibri" w:hAnsi="Calibri"/>
          <w:b/>
          <w:color w:val="2B547E"/>
          <w:sz w:val="22"/>
        </w:rPr>
        <w:t xml:space="preserve">Gap 2 — Manque d'évaluation de la robustesse face aux perturbations d'atelier : </w:t>
      </w:r>
      <w:r>
        <w:rPr>
          <w:rFonts w:ascii="Calibri" w:hAnsi="Calibri"/>
          <w:color w:val="222222"/>
          <w:sz w:val="22"/>
        </w:rPr>
        <w:t>Les publications évaluent presque exclusivement les modèles sur des signaux CWRU propres et idéaux. Les performances sous bruits sévères d'atelier (dérives thermiques, pertes de paquets IoT, bruits électromagnétiques) ne sont quasiment jamais rapportées de manière comparative.</w:t>
      </w:r>
    </w:p>
    <w:p>
      <w:pPr>
        <w:pStyle w:val="ListBullet"/>
        <w:spacing w:line="276" w:lineRule="auto" w:after="60"/>
        <w:jc w:val="both"/>
      </w:pPr>
      <w:r>
        <w:rPr>
          <w:rFonts w:ascii="Calibri" w:hAnsi="Calibri"/>
          <w:b/>
          <w:color w:val="2B547E"/>
          <w:sz w:val="22"/>
        </w:rPr>
        <w:t xml:space="preserve">Gap 3 — Rupture entre la détection algorithmique et l'action humaine de maintenance : </w:t>
      </w:r>
      <w:r>
        <w:rPr>
          <w:rFonts w:ascii="Calibri" w:hAnsi="Calibri"/>
          <w:color w:val="222222"/>
          <w:sz w:val="22"/>
        </w:rPr>
        <w:t>Il n'existe dans la littérature aucun système unifié intégrant la chaîne complète : de l'acquisition vibratoire brute jusqu'à l'assistance conversationnelle RAG et à la génération automatique d'ordres de travail pour techniciens, le tout orchestré de manière sobre et fonctionnelle.</w:t>
      </w:r>
    </w:p>
    <w:p>
      <w:r>
        <w:br w:type="page"/>
      </w:r>
    </w:p>
    <w:p>
      <w:pPr>
        <w:keepNext/>
        <w:spacing w:before="280" w:after="160"/>
      </w:pPr>
      <w:r>
        <w:rPr>
          <w:rFonts w:ascii="Calibri" w:hAnsi="Calibri"/>
          <w:b/>
          <w:color w:val="1B365D"/>
          <w:sz w:val="34"/>
        </w:rPr>
        <w:t>Chapitre 3 : Traitement du Signal, Ingestion &amp; Feature Engineering</w:t>
      </w:r>
    </w:p>
    <w:p>
      <w:pPr>
        <w:keepNext/>
        <w:spacing w:before="240" w:after="80"/>
      </w:pPr>
      <w:r>
        <w:rPr>
          <w:rFonts w:ascii="Calibri" w:hAnsi="Calibri"/>
          <w:b/>
          <w:color w:val="2B547E"/>
          <w:sz w:val="27"/>
        </w:rPr>
        <w:t>3.1 Description du Banc d'Essai Expérimental CWRU et Caractéristiques des Signaux</w:t>
      </w:r>
    </w:p>
    <w:p>
      <w:pPr>
        <w:spacing w:line="276" w:lineRule="auto" w:after="100"/>
        <w:jc w:val="both"/>
      </w:pPr>
      <w:r>
        <w:rPr>
          <w:rFonts w:ascii="Calibri" w:hAnsi="Calibri"/>
          <w:color w:val="222222"/>
          <w:sz w:val="22"/>
        </w:rPr>
        <w:t>Le jeu de données de référence internationale de la Case Western Reserve University (CWRU) a été généré sur un banc d'essai électromécanique constitué d'un moteur électrique d'entraînement de 2 chevaux-vapeur (HP), d'un transducteur de couple et d'un dynamomètre de charge à courants de Foucault. Les roulements testés sont des modèles à billes à gorge profonde SKF 6205-2RS instrumentés côté entraînement (Drive End - DE) et SKF 6203-2RS côté ventilateur (Fan End - FE). Des défauts localisés uniques ont été introduits artificiellement par électroérosion (EDM) avec des diamètres calibrés de 0.007 pouce (0.178 mm), 0.014 pouce (0.356 mm) et 0.021 pouce (0.533 mm) sur la bague interne, les billes et la bague externe (à 3 positions d'orientation de charge : 3h, 6h et 12h).</w:t>
      </w:r>
    </w:p>
    <w:p>
      <w:pPr>
        <w:spacing w:line="276" w:lineRule="auto" w:after="100"/>
        <w:jc w:val="both"/>
      </w:pPr>
      <w:r>
        <w:rPr>
          <w:rFonts w:ascii="Calibri" w:hAnsi="Calibri"/>
          <w:color w:val="222222"/>
          <w:sz w:val="22"/>
        </w:rPr>
        <w:t>Les accélérations vibratoires ont été acquises à l'aide d'accéléromètres piézoélectriques fixés par embase magnétique, à deux fréquences d'échantillonnage : 12 000 échantillons par seconde (12 kHz) pour les défauts DE et FE, et 48 000 échantillons par seconde (48 kHz) pour les défauts de bague motrice. L'ensemble couvre quatre régimes de charge moteur distincts : 0 HP (1797 RPM), 1 HP (1772 RPM), 2 HP (1750 RPM) et 3 HP (1730 RPM).</w:t>
      </w:r>
    </w:p>
    <w:p>
      <w:pPr>
        <w:spacing w:before="200" w:after="80"/>
        <w:jc w:val="center"/>
      </w:pPr>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01_raw_signals_time_domain.png"/>
                    <pic:cNvPicPr/>
                  </pic:nvPicPr>
                  <pic:blipFill>
                    <a:blip r:embed="rId12"/>
                    <a:stretch>
                      <a:fillRect/>
                    </a:stretch>
                  </pic:blipFill>
                  <pic:spPr>
                    <a:xfrm>
                      <a:off x="0" y="0"/>
                      <a:ext cx="5486400" cy="3657600"/>
                    </a:xfrm>
                    <a:prstGeom prst="rect"/>
                  </pic:spPr>
                </pic:pic>
              </a:graphicData>
            </a:graphic>
          </wp:inline>
        </w:drawing>
      </w:r>
    </w:p>
    <w:p>
      <w:pPr>
        <w:spacing w:before="40" w:after="240"/>
        <w:jc w:val="center"/>
      </w:pPr>
      <w:r>
        <w:rPr>
          <w:rFonts w:ascii="Calibri" w:hAnsi="Calibri"/>
          <w:b/>
          <w:color w:val="1B365D"/>
          <w:sz w:val="19"/>
        </w:rPr>
        <w:t xml:space="preserve">Figure 3.1 — </w:t>
      </w:r>
      <w:r>
        <w:rPr>
          <w:rFonts w:ascii="Calibri" w:hAnsi="Calibri"/>
          <w:i/>
          <w:color w:val="64748B"/>
          <w:sz w:val="19"/>
        </w:rPr>
        <w:t>Signaux vibratoires bruts CWRU dans le domaine temporel : Comparaison entre l'état nominal sain et les 3 modes de défaillance (BPFI, BPFO, BSF)</w:t>
      </w:r>
    </w:p>
    <w:p>
      <w:pPr>
        <w:keepNext/>
        <w:spacing w:before="240" w:after="80"/>
      </w:pPr>
      <w:r>
        <w:rPr>
          <w:rFonts w:ascii="Calibri" w:hAnsi="Calibri"/>
          <w:b/>
          <w:color w:val="2B547E"/>
          <w:sz w:val="27"/>
        </w:rPr>
        <w:t>3.2 Stratégie de Segmentation et Fenêtrage Glissant (Sliding Windowing)</w:t>
      </w:r>
    </w:p>
    <w:p>
      <w:pPr>
        <w:spacing w:line="276" w:lineRule="auto" w:after="100"/>
        <w:jc w:val="both"/>
      </w:pPr>
      <w:r>
        <w:rPr>
          <w:rFonts w:ascii="Calibri" w:hAnsi="Calibri"/>
          <w:color w:val="222222"/>
          <w:sz w:val="22"/>
        </w:rPr>
        <w:t>Pour concilier les exigences du traitement du signal et les contraintes d'une exécution en temps réel continu, le flux vibratoire brut $x[n]$ est découpé en fenêtres glissantes régulières de taille $N_w = 1024$ échantillons, avec un taux de recouvrement (overlap) de 50 % ($S = 512$ points). À une fréquence d'échantillonnage de $f_s = 12$ kHz, la durée temporelle exacte couverte par chaque fenêtre est de :</w:t>
      </w:r>
    </w:p>
    <w:p>
      <w:pPr>
        <w:spacing w:line="276" w:lineRule="auto" w:after="100"/>
        <w:jc w:val="both"/>
      </w:pPr>
      <w:r>
        <w:rPr>
          <w:rFonts w:ascii="Calibri" w:hAnsi="Calibri"/>
          <w:b/>
          <w:color w:val="1B365D"/>
          <w:sz w:val="22"/>
        </w:rPr>
        <w:t xml:space="preserve">Durée Temporelle de la Fenêtre d'Analyse : </w:t>
      </w:r>
      <w:r>
        <w:rPr>
          <w:rFonts w:ascii="Calibri" w:hAnsi="Calibri"/>
          <w:color w:val="222222"/>
          <w:sz w:val="22"/>
        </w:rPr>
        <w:t>$$T_w = \frac{N_w}{f_s} = \frac{1024}{12000} \approx 85.33\text{ ms}$$</w:t>
      </w:r>
    </w:p>
    <w:p>
      <w:pPr>
        <w:spacing w:line="276" w:lineRule="auto" w:after="100"/>
        <w:jc w:val="both"/>
      </w:pPr>
      <w:r>
        <w:rPr>
          <w:rFonts w:ascii="Calibri" w:hAnsi="Calibri"/>
          <w:color w:val="222222"/>
          <w:sz w:val="22"/>
        </w:rPr>
        <w:t>Cette durée de 85.33 ms est hautement judicieuse d'un point de vue physique : à la vitesse nominale de 1797 RPM ($f_r = 29.95$ Hz, soit une période de rotation d'arbre de $T_r = 33.38$ ms), chaque fenêtre capture environ 2.5 tours complets de rotation mécanique du rotor. Cela garantit d'englober statistiquement entre 8 et 15 impacts successifs de billes pour les défauts de bagues ($BPFI \cdot T_w \approx 13.8$ impacts, $BPFO \cdot T_w \approx 9.2$ impacts), assurant ainsi une parfaite représentativité statistique et spectrale.</w:t>
      </w:r>
    </w:p>
    <w:p>
      <w:pPr>
        <w:spacing w:before="200" w:after="80"/>
        <w:jc w:val="center"/>
      </w:pPr>
      <w:r>
        <w:drawing>
          <wp:inline xmlns:a="http://schemas.openxmlformats.org/drawingml/2006/main" xmlns:pic="http://schemas.openxmlformats.org/drawingml/2006/picture">
            <wp:extent cx="5303520" cy="2121408"/>
            <wp:docPr id="3" name="Picture 3"/>
            <wp:cNvGraphicFramePr>
              <a:graphicFrameLocks noChangeAspect="1"/>
            </wp:cNvGraphicFramePr>
            <a:graphic>
              <a:graphicData uri="http://schemas.openxmlformats.org/drawingml/2006/picture">
                <pic:pic>
                  <pic:nvPicPr>
                    <pic:cNvPr id="0" name="03_windowing_illustration.png"/>
                    <pic:cNvPicPr/>
                  </pic:nvPicPr>
                  <pic:blipFill>
                    <a:blip r:embed="rId13"/>
                    <a:stretch>
                      <a:fillRect/>
                    </a:stretch>
                  </pic:blipFill>
                  <pic:spPr>
                    <a:xfrm>
                      <a:off x="0" y="0"/>
                      <a:ext cx="5303520" cy="2121408"/>
                    </a:xfrm>
                    <a:prstGeom prst="rect"/>
                  </pic:spPr>
                </pic:pic>
              </a:graphicData>
            </a:graphic>
          </wp:inline>
        </w:drawing>
      </w:r>
    </w:p>
    <w:p>
      <w:pPr>
        <w:spacing w:before="40" w:after="240"/>
        <w:jc w:val="center"/>
      </w:pPr>
      <w:r>
        <w:rPr>
          <w:rFonts w:ascii="Calibri" w:hAnsi="Calibri"/>
          <w:b/>
          <w:color w:val="1B365D"/>
          <w:sz w:val="19"/>
        </w:rPr>
        <w:t xml:space="preserve">Figure 3.2 — </w:t>
      </w:r>
      <w:r>
        <w:rPr>
          <w:rFonts w:ascii="Calibri" w:hAnsi="Calibri"/>
          <w:i/>
          <w:color w:val="64748B"/>
          <w:sz w:val="19"/>
        </w:rPr>
        <w:t>Mécanisme de fenêtrage glissant (fenêtres de 1024 points, recouvrement de 50 %) pour le streaming continu IIoT</w:t>
      </w:r>
    </w:p>
    <w:p>
      <w:pPr>
        <w:keepNext/>
        <w:spacing w:before="240" w:after="80"/>
      </w:pPr>
      <w:r>
        <w:rPr>
          <w:rFonts w:ascii="Calibri" w:hAnsi="Calibri"/>
          <w:b/>
          <w:color w:val="2B547E"/>
          <w:sz w:val="27"/>
        </w:rPr>
        <w:t>3.3 Formulation Mathématique Exhaustive des 16 Indicateurs Physiques Extraits</w:t>
      </w:r>
    </w:p>
    <w:p>
      <w:pPr>
        <w:spacing w:line="276" w:lineRule="auto" w:after="100"/>
        <w:jc w:val="both"/>
      </w:pPr>
      <w:r>
        <w:rPr>
          <w:rFonts w:ascii="Calibri" w:hAnsi="Calibri"/>
          <w:color w:val="222222"/>
          <w:sz w:val="22"/>
        </w:rPr>
        <w:t>Plutôt que d'alimenter directement des réseaux de neurones profonds volumineux avec les 1024 points bruts de la fenêtre temporelle (ce qui saturerait la mémoire et le processeur du Raspberry Pi), nous avons conçu une étape de réduction de dimensionnalité guidée par la physique vibratoire. Pour chaque fenêtre $W = \{x_1, x_2, \dots, x_N\}$ de $N=1024$ points, nous extrayons un vecteur de 16 descripteurs physico-mathématiques regroupés en 3 catégories complémentaires :</w:t>
      </w:r>
    </w:p>
    <w:p>
      <w:pPr>
        <w:keepNext/>
        <w:spacing w:before="200" w:after="60"/>
        <w:jc w:val="left"/>
      </w:pPr>
      <w:r>
        <w:rPr>
          <w:rFonts w:ascii="Calibri" w:hAnsi="Calibri"/>
          <w:b/>
          <w:color w:val="1B365D"/>
          <w:sz w:val="20"/>
        </w:rPr>
        <w:t xml:space="preserve">Tableau 05 — </w:t>
      </w:r>
      <w:r>
        <w:rPr>
          <w:rFonts w:ascii="Calibri" w:hAnsi="Calibri"/>
          <w:i/>
          <w:color w:val="222222"/>
          <w:sz w:val="20"/>
        </w:rPr>
        <w:t>Formulation mathématique rigoureuse et signification physique des 16 indicateurs extraits par fenêtre</w:t>
      </w:r>
    </w:p>
    <w:tbl>
      <w:tblPr>
        <w:tblW w:type="auto" w:w="0"/>
        <w:jc w:val="center"/>
        <w:tblLayout w:type="fixed"/>
        <w:tblLook w:firstColumn="1" w:firstRow="1" w:lastColumn="0" w:lastRow="0" w:noHBand="0" w:noVBand="1" w:val="04A0"/>
      </w:tblPr>
      <w:tblGrid>
        <w:gridCol w:w="2272"/>
        <w:gridCol w:w="2272"/>
        <w:gridCol w:w="2272"/>
        <w:gridCol w:w="2272"/>
      </w:tblGrid>
      <w:tr>
        <w:trPr>
          <w:tblHeader/>
        </w:trPr>
        <w:tc>
          <w:tcPr>
            <w:tcW w:type="dxa" w:w="1728"/>
            <w:vAlign w:val="center"/>
            <w:shd w:fill="1B365D"/>
          </w:tcPr>
          <w:p>
            <w:pPr>
              <w:spacing w:before="80" w:after="80"/>
              <w:jc w:val="center"/>
            </w:pPr>
            <w:r>
              <w:rPr>
                <w:rFonts w:ascii="Calibri" w:hAnsi="Calibri"/>
                <w:b/>
                <w:color w:val="FFFFFF"/>
                <w:sz w:val="20"/>
              </w:rPr>
              <w:t>Indicateur</w:t>
            </w:r>
          </w:p>
        </w:tc>
        <w:tc>
          <w:tcPr>
            <w:tcW w:type="dxa" w:w="1440"/>
            <w:vAlign w:val="center"/>
            <w:shd w:fill="1B365D"/>
          </w:tcPr>
          <w:p>
            <w:pPr>
              <w:spacing w:before="80" w:after="80"/>
              <w:jc w:val="center"/>
            </w:pPr>
            <w:r>
              <w:rPr>
                <w:rFonts w:ascii="Calibri" w:hAnsi="Calibri"/>
                <w:b/>
                <w:color w:val="FFFFFF"/>
                <w:sz w:val="20"/>
              </w:rPr>
              <w:t>Catégorie</w:t>
            </w:r>
          </w:p>
        </w:tc>
        <w:tc>
          <w:tcPr>
            <w:tcW w:type="dxa" w:w="2592"/>
            <w:vAlign w:val="center"/>
            <w:shd w:fill="1B365D"/>
          </w:tcPr>
          <w:p>
            <w:pPr>
              <w:spacing w:before="80" w:after="80"/>
              <w:jc w:val="center"/>
            </w:pPr>
            <w:r>
              <w:rPr>
                <w:rFonts w:ascii="Calibri" w:hAnsi="Calibri"/>
                <w:b/>
                <w:color w:val="FFFFFF"/>
                <w:sz w:val="20"/>
              </w:rPr>
              <w:t>Formule Mathématique</w:t>
            </w:r>
          </w:p>
        </w:tc>
        <w:tc>
          <w:tcPr>
            <w:tcW w:type="dxa" w:w="3600"/>
            <w:vAlign w:val="center"/>
            <w:shd w:fill="1B365D"/>
          </w:tcPr>
          <w:p>
            <w:pPr>
              <w:spacing w:before="80" w:after="80"/>
              <w:jc w:val="center"/>
            </w:pPr>
            <w:r>
              <w:rPr>
                <w:rFonts w:ascii="Calibri" w:hAnsi="Calibri"/>
                <w:b/>
                <w:color w:val="FFFFFF"/>
                <w:sz w:val="20"/>
              </w:rPr>
              <w:t>Interprétation Physique &amp; Sensibilité</w:t>
            </w:r>
          </w:p>
        </w:tc>
      </w:tr>
      <w:tr>
        <w:tc>
          <w:tcPr>
            <w:tcW w:type="dxa" w:w="1728"/>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1. Moyenne</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Statistique</w:t>
            </w:r>
          </w:p>
        </w:tc>
        <w:tc>
          <w:tcPr>
            <w:tcW w:type="dxa" w:w="259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$\mu = \frac{1}{N} \sum x_i$</w:t>
            </w:r>
          </w:p>
        </w:tc>
        <w:tc>
          <w:tcPr>
            <w:tcW w:type="dxa" w:w="360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Composante continue (DC offset) et dérive du capteur.</w:t>
            </w:r>
          </w:p>
        </w:tc>
      </w:tr>
      <w:tr>
        <w:tc>
          <w:tcPr>
            <w:tcW w:type="dxa" w:w="1728"/>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2. Écart-Type</w:t>
            </w:r>
          </w:p>
        </w:tc>
        <w:tc>
          <w:tcPr>
            <w:tcW w:type="dxa" w:w="144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Statistique</w:t>
            </w:r>
          </w:p>
        </w:tc>
        <w:tc>
          <w:tcPr>
            <w:tcW w:type="dxa" w:w="259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$\sigma = \sqrt{\frac{1}{N} \sum (x_i - \mu)^2}$</w:t>
            </w:r>
          </w:p>
        </w:tc>
        <w:tc>
          <w:tcPr>
            <w:tcW w:type="dxa" w:w="360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Dispersion vibratoire globale autour de l'axe central.</w:t>
            </w:r>
          </w:p>
        </w:tc>
      </w:tr>
      <w:tr>
        <w:tc>
          <w:tcPr>
            <w:tcW w:type="dxa" w:w="1728"/>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3. Variance</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Statistique</w:t>
            </w:r>
          </w:p>
        </w:tc>
        <w:tc>
          <w:tcPr>
            <w:tcW w:type="dxa" w:w="259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$\sigma^2 = \frac{1}{N} \sum (x_i - \mu)^2$</w:t>
            </w:r>
          </w:p>
        </w:tc>
        <w:tc>
          <w:tcPr>
            <w:tcW w:type="dxa" w:w="360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Puissance dynamique de la fluctuation du signal.</w:t>
            </w:r>
          </w:p>
        </w:tc>
      </w:tr>
      <w:tr>
        <w:tc>
          <w:tcPr>
            <w:tcW w:type="dxa" w:w="1728"/>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4. Valeur RMS</w:t>
            </w:r>
          </w:p>
        </w:tc>
        <w:tc>
          <w:tcPr>
            <w:tcW w:type="dxa" w:w="144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Statistique</w:t>
            </w:r>
          </w:p>
        </w:tc>
        <w:tc>
          <w:tcPr>
            <w:tcW w:type="dxa" w:w="259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$x_{rms} = \sqrt{\frac{1}{N} \sum x_i^2}$</w:t>
            </w:r>
          </w:p>
        </w:tc>
        <w:tc>
          <w:tcPr>
            <w:tcW w:type="dxa" w:w="360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Énergie totale du signal ; référence des normes ISO 10816.</w:t>
            </w:r>
          </w:p>
        </w:tc>
      </w:tr>
      <w:tr>
        <w:tc>
          <w:tcPr>
            <w:tcW w:type="dxa" w:w="1728"/>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5. Minimum</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Statistique</w:t>
            </w:r>
          </w:p>
        </w:tc>
        <w:tc>
          <w:tcPr>
            <w:tcW w:type="dxa" w:w="259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$x_{min} = \min(x_i)$</w:t>
            </w:r>
          </w:p>
        </w:tc>
        <w:tc>
          <w:tcPr>
            <w:tcW w:type="dxa" w:w="360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Pic d'impact négatif maximal dans la fenêtre.</w:t>
            </w:r>
          </w:p>
        </w:tc>
      </w:tr>
      <w:tr>
        <w:tc>
          <w:tcPr>
            <w:tcW w:type="dxa" w:w="1728"/>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6. Maximum</w:t>
            </w:r>
          </w:p>
        </w:tc>
        <w:tc>
          <w:tcPr>
            <w:tcW w:type="dxa" w:w="144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Statistique</w:t>
            </w:r>
          </w:p>
        </w:tc>
        <w:tc>
          <w:tcPr>
            <w:tcW w:type="dxa" w:w="259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$x_{max} = \max(x_i)$</w:t>
            </w:r>
          </w:p>
        </w:tc>
        <w:tc>
          <w:tcPr>
            <w:tcW w:type="dxa" w:w="360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Pic d'impact positif maximal dans la fenêtre.</w:t>
            </w:r>
          </w:p>
        </w:tc>
      </w:tr>
      <w:tr>
        <w:tc>
          <w:tcPr>
            <w:tcW w:type="dxa" w:w="1728"/>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7. Crête-à-Crête</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Statistique</w:t>
            </w:r>
          </w:p>
        </w:tc>
        <w:tc>
          <w:tcPr>
            <w:tcW w:type="dxa" w:w="259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$x_{p2p} = x_{max} - x_{min}$</w:t>
            </w:r>
          </w:p>
        </w:tc>
        <w:tc>
          <w:tcPr>
            <w:tcW w:type="dxa" w:w="360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Excursion maximale d'amplitude vibratoire.</w:t>
            </w:r>
          </w:p>
        </w:tc>
      </w:tr>
      <w:tr>
        <w:tc>
          <w:tcPr>
            <w:tcW w:type="dxa" w:w="1728"/>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8. Énergie</w:t>
            </w:r>
          </w:p>
        </w:tc>
        <w:tc>
          <w:tcPr>
            <w:tcW w:type="dxa" w:w="144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Statistique</w:t>
            </w:r>
          </w:p>
        </w:tc>
        <w:tc>
          <w:tcPr>
            <w:tcW w:type="dxa" w:w="259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$E = \sum x_i^2$</w:t>
            </w:r>
          </w:p>
        </w:tc>
        <w:tc>
          <w:tcPr>
            <w:tcW w:type="dxa" w:w="360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Énergie brute intégrée sur la durée de la fenêtre.</w:t>
            </w:r>
          </w:p>
        </w:tc>
      </w:tr>
      <w:tr>
        <w:tc>
          <w:tcPr>
            <w:tcW w:type="dxa" w:w="1728"/>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9. Skewness</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Forme</w:t>
            </w:r>
          </w:p>
        </w:tc>
        <w:tc>
          <w:tcPr>
            <w:tcW w:type="dxa" w:w="259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$S_k = \frac{1}{N \sigma^3} \sum (x_i - \mu)^3$</w:t>
            </w:r>
          </w:p>
        </w:tc>
        <w:tc>
          <w:tcPr>
            <w:tcW w:type="dxa" w:w="360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Asymétrie de la distribution des amplitudes vibratoires.</w:t>
            </w:r>
          </w:p>
        </w:tc>
      </w:tr>
      <w:tr>
        <w:tc>
          <w:tcPr>
            <w:tcW w:type="dxa" w:w="1728"/>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10. Kurtosis</w:t>
            </w:r>
          </w:p>
        </w:tc>
        <w:tc>
          <w:tcPr>
            <w:tcW w:type="dxa" w:w="144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Forme / Choc</w:t>
            </w:r>
          </w:p>
        </w:tc>
        <w:tc>
          <w:tcPr>
            <w:tcW w:type="dxa" w:w="259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$K_u = \frac{1}{N \sigma^4} \sum (x_i - \mu)^4$</w:t>
            </w:r>
          </w:p>
        </w:tc>
        <w:tc>
          <w:tcPr>
            <w:tcW w:type="dxa" w:w="360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Sensibilité extrême aux chocs impulsionnels naissants.</w:t>
            </w:r>
          </w:p>
        </w:tc>
      </w:tr>
      <w:tr>
        <w:tc>
          <w:tcPr>
            <w:tcW w:type="dxa" w:w="1728"/>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11. Facteur Crête</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Impulsion</w:t>
            </w:r>
          </w:p>
        </w:tc>
        <w:tc>
          <w:tcPr>
            <w:tcW w:type="dxa" w:w="259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$C_f = \frac{x_{peak}}{x_{rms}}$</w:t>
            </w:r>
          </w:p>
        </w:tc>
        <w:tc>
          <w:tcPr>
            <w:tcW w:type="dxa" w:w="360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Rapport entre pic et énergie moyenne ; indicateur de choc.</w:t>
            </w:r>
          </w:p>
        </w:tc>
      </w:tr>
      <w:tr>
        <w:tc>
          <w:tcPr>
            <w:tcW w:type="dxa" w:w="1728"/>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12. Facteur Impulsion</w:t>
            </w:r>
          </w:p>
        </w:tc>
        <w:tc>
          <w:tcPr>
            <w:tcW w:type="dxa" w:w="144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Impulsion</w:t>
            </w:r>
          </w:p>
        </w:tc>
        <w:tc>
          <w:tcPr>
            <w:tcW w:type="dxa" w:w="259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$I_f = \frac{x_{peak}}{\frac{1}{N} \sum |x_i|}$</w:t>
            </w:r>
          </w:p>
        </w:tc>
        <w:tc>
          <w:tcPr>
            <w:tcW w:type="dxa" w:w="360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Sensibilité aux trains d'impacts isolés et répétés.</w:t>
            </w:r>
          </w:p>
        </w:tc>
      </w:tr>
      <w:tr>
        <w:tc>
          <w:tcPr>
            <w:tcW w:type="dxa" w:w="1728"/>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13. Énergie Spectrale</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Fréquentielle</w:t>
            </w:r>
          </w:p>
        </w:tc>
        <w:tc>
          <w:tcPr>
            <w:tcW w:type="dxa" w:w="259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$E_{fft} = \sum |X[k]|^2$</w:t>
            </w:r>
          </w:p>
        </w:tc>
        <w:tc>
          <w:tcPr>
            <w:tcW w:type="dxa" w:w="360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Énergie cumulée dans le spectre de Fourier (FFT).</w:t>
            </w:r>
          </w:p>
        </w:tc>
      </w:tr>
      <w:tr>
        <w:tc>
          <w:tcPr>
            <w:tcW w:type="dxa" w:w="1728"/>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14. Fréq. Dominante</w:t>
            </w:r>
          </w:p>
        </w:tc>
        <w:tc>
          <w:tcPr>
            <w:tcW w:type="dxa" w:w="144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Fréquentielle</w:t>
            </w:r>
          </w:p>
        </w:tc>
        <w:tc>
          <w:tcPr>
            <w:tcW w:type="dxa" w:w="259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$f_{dom} = \arg\max_f |X(f)|$</w:t>
            </w:r>
          </w:p>
        </w:tc>
        <w:tc>
          <w:tcPr>
            <w:tcW w:type="dxa" w:w="360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Harmonique principale (rotation ou fréquence de défaut).</w:t>
            </w:r>
          </w:p>
        </w:tc>
      </w:tr>
      <w:tr>
        <w:tc>
          <w:tcPr>
            <w:tcW w:type="dxa" w:w="1728"/>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15. Centroïde Spectral</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Fréquentielle</w:t>
            </w:r>
          </w:p>
        </w:tc>
        <w:tc>
          <w:tcPr>
            <w:tcW w:type="dxa" w:w="259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$f_c = \frac{\sum f_k |X_k|}{\sum |X_k|}$</w:t>
            </w:r>
          </w:p>
        </w:tc>
        <w:tc>
          <w:tcPr>
            <w:tcW w:type="dxa" w:w="360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Barycentre du spectre fréquentiel (centre de gravité).</w:t>
            </w:r>
          </w:p>
        </w:tc>
      </w:tr>
      <w:tr>
        <w:tc>
          <w:tcPr>
            <w:tcW w:type="dxa" w:w="1728"/>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16. Étalement Spectral</w:t>
            </w:r>
          </w:p>
        </w:tc>
        <w:tc>
          <w:tcPr>
            <w:tcW w:type="dxa" w:w="144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Fréquentielle</w:t>
            </w:r>
          </w:p>
        </w:tc>
        <w:tc>
          <w:tcPr>
            <w:tcW w:type="dxa" w:w="259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$\sigma_{fft} = \sqrt{\frac{\sum (f_k - f_c)^2 |X_k|}{\sum |X_k|}}$</w:t>
            </w:r>
          </w:p>
        </w:tc>
        <w:tc>
          <w:tcPr>
            <w:tcW w:type="dxa" w:w="360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Largeur de bande et dispersion spectrale des harmoniques.</w:t>
            </w:r>
          </w:p>
        </w:tc>
      </w:tr>
    </w:tbl>
    <w:p>
      <w:pPr>
        <w:spacing w:after="120"/>
      </w:pPr>
    </w:p>
    <w:p>
      <w:pPr>
        <w:keepNext/>
        <w:spacing w:before="240" w:after="80"/>
      </w:pPr>
      <w:r>
        <w:rPr>
          <w:rFonts w:ascii="Calibri" w:hAnsi="Calibri"/>
          <w:b/>
          <w:color w:val="2B547E"/>
          <w:sz w:val="27"/>
        </w:rPr>
        <w:t>3.4 Création de Jeux de Données Hybrides Perturbés pour les Tests de Robustesse</w:t>
      </w:r>
    </w:p>
    <w:p>
      <w:pPr>
        <w:spacing w:line="276" w:lineRule="auto" w:after="100"/>
        <w:jc w:val="both"/>
      </w:pPr>
      <w:r>
        <w:rPr>
          <w:rFonts w:ascii="Calibri" w:hAnsi="Calibri"/>
          <w:b/>
          <w:color w:val="1B365D"/>
          <w:sz w:val="22"/>
        </w:rPr>
        <w:t xml:space="preserve">Modélisation des Perturbations Industrielles : </w:t>
      </w:r>
      <w:r>
        <w:rPr>
          <w:rFonts w:ascii="Calibri" w:hAnsi="Calibri"/>
          <w:color w:val="222222"/>
          <w:sz w:val="22"/>
        </w:rPr>
        <w:t>Afin de combler le gap scientifique identifié dans la littérature (Gap 2 : absence de tests sous conditions industrielles réelles), nous avons synthétisé un jeu de données hybride perturbé (`features_hybrid.parquet`) incorporant trois altérations réalistes :</w:t>
      </w:r>
    </w:p>
    <w:p>
      <w:pPr>
        <w:pStyle w:val="ListBullet"/>
        <w:spacing w:line="276" w:lineRule="auto" w:after="60"/>
        <w:jc w:val="both"/>
      </w:pPr>
      <w:r>
        <w:rPr>
          <w:rFonts w:ascii="Calibri" w:hAnsi="Calibri"/>
          <w:b/>
          <w:color w:val="2B547E"/>
          <w:sz w:val="22"/>
        </w:rPr>
        <w:t xml:space="preserve">Bruit Gaussien Réaliste : </w:t>
      </w:r>
      <w:r>
        <w:rPr>
          <w:rFonts w:ascii="Calibri" w:hAnsi="Calibri"/>
          <w:color w:val="222222"/>
          <w:sz w:val="22"/>
        </w:rPr>
        <w:t>Génération d'un bruit blanc centré additionnel $b[n] \sim \mathcal{N}(0, \sigma_b^2)$ pour simuler les bruits d'environnement d'usine, avec des rapports Signal-sur-Bruit (SNR) dégradés échelonnés de +20 dB jusqu'à -5 dB.</w:t>
      </w:r>
    </w:p>
    <w:p>
      <w:pPr>
        <w:pStyle w:val="ListBullet"/>
        <w:spacing w:line="276" w:lineRule="auto" w:after="60"/>
        <w:jc w:val="both"/>
      </w:pPr>
      <w:r>
        <w:rPr>
          <w:rFonts w:ascii="Calibri" w:hAnsi="Calibri"/>
          <w:b/>
          <w:color w:val="2B547E"/>
          <w:sz w:val="22"/>
        </w:rPr>
        <w:t xml:space="preserve">Dérive Thermique : </w:t>
      </w:r>
      <w:r>
        <w:rPr>
          <w:rFonts w:ascii="Calibri" w:hAnsi="Calibri"/>
          <w:color w:val="222222"/>
          <w:sz w:val="22"/>
        </w:rPr>
        <w:t>Injection d'une dérive polynomiale basse fréquence $d(t) = a t + b t^2$ pour reproduire l'échauffement progressif du moteur et la dilatation thermique des pièces mécaniques.</w:t>
      </w:r>
    </w:p>
    <w:p>
      <w:pPr>
        <w:pStyle w:val="ListBullet"/>
        <w:spacing w:line="276" w:lineRule="auto" w:after="60"/>
        <w:jc w:val="both"/>
      </w:pPr>
      <w:r>
        <w:rPr>
          <w:rFonts w:ascii="Calibri" w:hAnsi="Calibri"/>
          <w:b/>
          <w:color w:val="2B547E"/>
          <w:sz w:val="22"/>
        </w:rPr>
        <w:t xml:space="preserve">Pertes de Paquets IoT : </w:t>
      </w:r>
      <w:r>
        <w:rPr>
          <w:rFonts w:ascii="Calibri" w:hAnsi="Calibri"/>
          <w:color w:val="222222"/>
          <w:sz w:val="22"/>
        </w:rPr>
        <w:t>Suppression aléatoire de trames d'échantillons (de 5 % à 20 % de pertes) pour modéliser les aléas de transmission sans fil des capteurs IoT industriels.</w:t>
      </w:r>
    </w:p>
    <w:p>
      <w:pPr>
        <w:spacing w:before="200" w:after="80"/>
        <w:jc w:val="center"/>
      </w:pPr>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02_hybrid_disturbances_comparison.png"/>
                    <pic:cNvPicPr/>
                  </pic:nvPicPr>
                  <pic:blipFill>
                    <a:blip r:embed="rId14"/>
                    <a:stretch>
                      <a:fillRect/>
                    </a:stretch>
                  </pic:blipFill>
                  <pic:spPr>
                    <a:xfrm>
                      <a:off x="0" y="0"/>
                      <a:ext cx="5486400" cy="2743200"/>
                    </a:xfrm>
                    <a:prstGeom prst="rect"/>
                  </pic:spPr>
                </pic:pic>
              </a:graphicData>
            </a:graphic>
          </wp:inline>
        </w:drawing>
      </w:r>
    </w:p>
    <w:p>
      <w:pPr>
        <w:spacing w:before="40" w:after="240"/>
        <w:jc w:val="center"/>
      </w:pPr>
      <w:r>
        <w:rPr>
          <w:rFonts w:ascii="Calibri" w:hAnsi="Calibri"/>
          <w:b/>
          <w:color w:val="1B365D"/>
          <w:sz w:val="19"/>
        </w:rPr>
        <w:t xml:space="preserve">Figure 3.3 — </w:t>
      </w:r>
      <w:r>
        <w:rPr>
          <w:rFonts w:ascii="Calibri" w:hAnsi="Calibri"/>
          <w:i/>
          <w:color w:val="64748B"/>
          <w:sz w:val="19"/>
        </w:rPr>
        <w:t>Signaux vibratoires sous perturbations hybrides : Signal nominal vs Bruit d'atelier (SNR 5 dB), Dérive thermique et Pertes de trames</w:t>
      </w:r>
    </w:p>
    <w:p>
      <w:pPr>
        <w:keepNext/>
        <w:spacing w:before="240" w:after="80"/>
      </w:pPr>
      <w:r>
        <w:rPr>
          <w:rFonts w:ascii="Calibri" w:hAnsi="Calibri"/>
          <w:b/>
          <w:color w:val="2B547E"/>
          <w:sz w:val="27"/>
        </w:rPr>
        <w:t>3.5 Pipeline de Normalisation et Partitionnement Stratifié Train/Val/Test</w:t>
      </w:r>
    </w:p>
    <w:p>
      <w:pPr>
        <w:spacing w:line="276" w:lineRule="auto" w:after="100"/>
        <w:jc w:val="both"/>
      </w:pPr>
      <w:r>
        <w:rPr>
          <w:rFonts w:ascii="Calibri" w:hAnsi="Calibri"/>
          <w:color w:val="222222"/>
          <w:sz w:val="22"/>
        </w:rPr>
        <w:t>Les 16 caractéristiques extraites présentent des échelles de valeurs disparates (ex: la moyenne est de l'ordre de $10^{-3}$, le Kurtosis de l'ordre de 3 à 40, et l'énergie spectrale dépasse $10^4$). Pour garantir la convergence des algorithmes d'apprentissage, les features sont normalisées via un `StandardScaler` qui centre chaque variable à moyenne nulle et variance unitaire ($z = (x - \mu) / \sigma$). Le scaler ajusté uniquement sur l'ensemble d'entraînement est sérialisé sous `models/scaler.joblib` pour une réutilisation stricte en phase d'inférence.</w:t>
      </w:r>
    </w:p>
    <w:p>
      <w:pPr>
        <w:spacing w:line="276" w:lineRule="auto" w:after="100"/>
        <w:jc w:val="both"/>
      </w:pPr>
      <w:r>
        <w:rPr>
          <w:rFonts w:ascii="Calibri" w:hAnsi="Calibri"/>
          <w:color w:val="222222"/>
          <w:sz w:val="22"/>
        </w:rPr>
        <w:t>Le dataset complet est ensuite partitionné de manière stratifiée en trois sous-ensembles indépendants : 70 % pour l'entraînement (Train), 15 % pour la validation et l'optimisation des hyperparamètres (Validation), et 15 % scellés pour le test final (Test), sauvegardés sous forme compressée dans `data/processed/dataset_split.npz`.</w:t>
      </w:r>
    </w:p>
    <w:p>
      <w:r>
        <w:br w:type="page"/>
      </w:r>
    </w:p>
    <w:p>
      <w:pPr>
        <w:keepNext/>
        <w:spacing w:before="280" w:after="160"/>
      </w:pPr>
      <w:r>
        <w:rPr>
          <w:rFonts w:ascii="Calibri" w:hAnsi="Calibri"/>
          <w:b/>
          <w:color w:val="1B365D"/>
          <w:sz w:val="34"/>
        </w:rPr>
        <w:t>Chapitre 4 : Conception, Entraînement &amp; Évaluation des Modèles IA</w:t>
      </w:r>
    </w:p>
    <w:p>
      <w:pPr>
        <w:spacing w:line="276" w:lineRule="auto" w:after="100"/>
        <w:jc w:val="both"/>
      </w:pPr>
      <w:r>
        <w:rPr>
          <w:rFonts w:ascii="Calibri" w:hAnsi="Calibri"/>
          <w:color w:val="222222"/>
          <w:sz w:val="22"/>
        </w:rPr>
        <w:t>Pour répondre aux exigences d'un compromis optimal entre précision de diagnostic, compacité mémoire et vitesse d'inférence sur nano-calculateur Raspberry Pi, nous avons développé et évalué comparativement cinq familles d'algorithmes d'Intelligence Artificielle : deux modèles supervisés basés sur des arbres de décision, une architecture de réseau de neurones convolutif 1D (Deep Learning), et deux modèles de détection d'anomalies non supervisés.</w:t>
      </w:r>
    </w:p>
    <w:p>
      <w:pPr>
        <w:keepNext/>
        <w:spacing w:before="240" w:after="80"/>
      </w:pPr>
      <w:r>
        <w:rPr>
          <w:rFonts w:ascii="Calibri" w:hAnsi="Calibri"/>
          <w:b/>
          <w:color w:val="2B547E"/>
          <w:sz w:val="27"/>
        </w:rPr>
        <w:t>4.1 Modèles Supervisés Basés sur les Arbres (Gradient Boosting &amp; Random Forest)</w:t>
      </w:r>
    </w:p>
    <w:p>
      <w:pPr>
        <w:spacing w:line="276" w:lineRule="auto" w:after="100"/>
        <w:jc w:val="both"/>
      </w:pPr>
      <w:r>
        <w:rPr>
          <w:rFonts w:ascii="Calibri" w:hAnsi="Calibri"/>
          <w:color w:val="222222"/>
          <w:sz w:val="22"/>
        </w:rPr>
        <w:t>Le **Gradient Boosting** (implémenté via `GradientBoostingClassifier` de scikit-learn) construit de manière séquentielle un ensemble d'arbres de décision peu profonds, où chaque nouvel arbre corrige les résidus d'erreur des arbres précédents en minimisant une fonction de perte de déviance logistique. Le **Random Forest** opère quant à lui par bagging en parallélisant des arbres indépendants entraînés sur des sous-échantillons bootstrapés du jeu de données.</w:t>
      </w:r>
    </w:p>
    <w:p>
      <w:pPr>
        <w:keepNext/>
        <w:spacing w:before="240" w:after="80"/>
      </w:pPr>
      <w:r>
        <w:rPr>
          <w:rFonts w:ascii="Calibri" w:hAnsi="Calibri"/>
          <w:b/>
          <w:color w:val="2B547E"/>
          <w:sz w:val="27"/>
        </w:rPr>
        <w:t>4.2 Architecture Réseau de Neurones Convolutif 1D (1D-CNN Compact PyTorch)</w:t>
      </w:r>
    </w:p>
    <w:p>
      <w:pPr>
        <w:spacing w:line="276" w:lineRule="auto" w:after="100"/>
        <w:jc w:val="both"/>
      </w:pPr>
      <w:r>
        <w:rPr>
          <w:rFonts w:ascii="Calibri" w:hAnsi="Calibri"/>
          <w:b/>
          <w:color w:val="1B365D"/>
          <w:sz w:val="22"/>
        </w:rPr>
        <w:t xml:space="preserve">Topologie de l'Architecture 1D-CNN : </w:t>
      </w:r>
      <w:r>
        <w:rPr>
          <w:rFonts w:ascii="Calibri" w:hAnsi="Calibri"/>
          <w:color w:val="222222"/>
          <w:sz w:val="22"/>
        </w:rPr>
        <w:t>Pour évaluer l'apport du Deep Learning dans un cadre contraint, nous avons conçu une architecture originale **1D-CNN Compact** sous PyTorch. Le réseau prend en entrée le tenseur de dimension $(1, 16)$ correspondant aux 16 features. Il se compose de :</w:t>
      </w:r>
    </w:p>
    <w:p>
      <w:pPr>
        <w:pStyle w:val="ListBullet"/>
        <w:spacing w:line="276" w:lineRule="auto" w:after="60"/>
        <w:jc w:val="both"/>
      </w:pPr>
      <w:r>
        <w:rPr>
          <w:rFonts w:ascii="Calibri" w:hAnsi="Calibri"/>
          <w:b/>
          <w:color w:val="2B547E"/>
          <w:sz w:val="22"/>
        </w:rPr>
        <w:t xml:space="preserve">Bloc Convolutif 1 : </w:t>
      </w:r>
      <w:r>
        <w:rPr>
          <w:rFonts w:ascii="Calibri" w:hAnsi="Calibri"/>
          <w:color w:val="222222"/>
          <w:sz w:val="22"/>
        </w:rPr>
        <w:t>Une couche de convolution 1D avec 8 filtres de taille de noyau 3 (padding 1), suivie d'une normalisation par lot (BatchNorm1d), d'une activation non-linéaire ReLU et d'un sous-échantillonnage MaxPool1d(2).</w:t>
      </w:r>
    </w:p>
    <w:p>
      <w:pPr>
        <w:pStyle w:val="ListBullet"/>
        <w:spacing w:line="276" w:lineRule="auto" w:after="60"/>
        <w:jc w:val="both"/>
      </w:pPr>
      <w:r>
        <w:rPr>
          <w:rFonts w:ascii="Calibri" w:hAnsi="Calibri"/>
          <w:b/>
          <w:color w:val="2B547E"/>
          <w:sz w:val="22"/>
        </w:rPr>
        <w:t xml:space="preserve">Bloc Convolutif 2 : </w:t>
      </w:r>
      <w:r>
        <w:rPr>
          <w:rFonts w:ascii="Calibri" w:hAnsi="Calibri"/>
          <w:color w:val="222222"/>
          <w:sz w:val="22"/>
        </w:rPr>
        <w:t>Une seconde couche de convolution 1D avec 16 filtres (taille 3), BatchNorm1d, ReLU, et une couche de pooling adaptatif moyen AdaptiveAvgPool1d(4).</w:t>
      </w:r>
    </w:p>
    <w:p>
      <w:pPr>
        <w:pStyle w:val="ListBullet"/>
        <w:spacing w:line="276" w:lineRule="auto" w:after="60"/>
        <w:jc w:val="both"/>
      </w:pPr>
      <w:r>
        <w:rPr>
          <w:rFonts w:ascii="Calibri" w:hAnsi="Calibri"/>
          <w:b/>
          <w:color w:val="2B547E"/>
          <w:sz w:val="22"/>
        </w:rPr>
        <w:t xml:space="preserve">Couches Denses &amp; Sortie : </w:t>
      </w:r>
      <w:r>
        <w:rPr>
          <w:rFonts w:ascii="Calibri" w:hAnsi="Calibri"/>
          <w:color w:val="222222"/>
          <w:sz w:val="22"/>
        </w:rPr>
        <w:t>Une couche linéaire entièrement connectée de dimension $64 \to 16$ avec régularisation Dropout (0.2), suivie de la couche de classification finale $16 \to 2$ avec fonction d'activation Softmax.</w:t>
      </w:r>
    </w:p>
    <w:p>
      <w:pPr>
        <w:spacing w:line="276" w:lineRule="auto" w:after="100"/>
        <w:jc w:val="both"/>
      </w:pPr>
      <w:r>
        <w:rPr>
          <w:rFonts w:ascii="Calibri" w:hAnsi="Calibri"/>
          <w:color w:val="222222"/>
          <w:sz w:val="22"/>
        </w:rPr>
        <w:t>Le nombre total de paramètres entraînables est de seulement **1 874 paramètres**, ce qui garantit un poids binaire infime de 11.3 KB.</w:t>
      </w:r>
    </w:p>
    <w:p>
      <w:pPr>
        <w:keepNext/>
        <w:spacing w:before="240" w:after="80"/>
      </w:pPr>
      <w:r>
        <w:rPr>
          <w:rFonts w:ascii="Calibri" w:hAnsi="Calibri"/>
          <w:b/>
          <w:color w:val="2B547E"/>
          <w:sz w:val="27"/>
        </w:rPr>
        <w:t>4.3 Modèles Non Supervisés de Détection d'Anomalies (Isolation Forest &amp; Autoencodeur)</w:t>
      </w:r>
    </w:p>
    <w:p>
      <w:pPr>
        <w:spacing w:line="276" w:lineRule="auto" w:after="100"/>
        <w:jc w:val="both"/>
      </w:pPr>
      <w:r>
        <w:rPr>
          <w:rFonts w:ascii="Calibri" w:hAnsi="Calibri"/>
          <w:color w:val="222222"/>
          <w:sz w:val="22"/>
        </w:rPr>
        <w:t>Dans l'industrie réelle, les données d'anomalies sont rares alors que les données de fonctionnement sain sont abondantes. Nous avons donc implémenté deux modèles non supervisés entraînés exclusivement sur la classe 'Normal' :</w:t>
      </w:r>
    </w:p>
    <w:p>
      <w:pPr>
        <w:pStyle w:val="ListBullet"/>
        <w:spacing w:line="276" w:lineRule="auto" w:after="60"/>
        <w:jc w:val="both"/>
      </w:pPr>
      <w:r>
        <w:rPr>
          <w:rFonts w:ascii="Calibri" w:hAnsi="Calibri"/>
          <w:b/>
          <w:color w:val="2B547E"/>
          <w:sz w:val="22"/>
        </w:rPr>
        <w:t xml:space="preserve">Isolation Forest : </w:t>
      </w:r>
      <w:r>
        <w:rPr>
          <w:rFonts w:ascii="Calibri" w:hAnsi="Calibri"/>
          <w:color w:val="222222"/>
          <w:sz w:val="22"/>
        </w:rPr>
        <w:t>L'**Isolation Forest** isole les observations anormales en partitionnant récursivement l'espace par des coupures aléatoires d'hyperplans. Les anomalies étant peu nombreuses et éloignées, elles se retrouvent isolées à des profondeurs d'arbres nettement moindres que les points nominaux.</w:t>
      </w:r>
    </w:p>
    <w:p>
      <w:pPr>
        <w:pStyle w:val="ListBullet"/>
        <w:spacing w:line="276" w:lineRule="auto" w:after="60"/>
        <w:jc w:val="both"/>
      </w:pPr>
      <w:r>
        <w:rPr>
          <w:rFonts w:ascii="Calibri" w:hAnsi="Calibri"/>
          <w:b/>
          <w:color w:val="2B547E"/>
          <w:sz w:val="22"/>
        </w:rPr>
        <w:t xml:space="preserve">Autoencodeur Compact : </w:t>
      </w:r>
      <w:r>
        <w:rPr>
          <w:rFonts w:ascii="Calibri" w:hAnsi="Calibri"/>
          <w:color w:val="222222"/>
          <w:sz w:val="22"/>
        </w:rPr>
        <w:t>L'**Autoencodeur Compact PyTorch** compresse le vecteur de 16 features vers un espace latent de dimension 4 ($16 \to 8 \to 4$), puis le décompresse pour reconstruire le vecteur d'origine ($4 \to 8 \to 16$). Entraîné à minimiser l'erreur quadratique moyenne (MSE) sur données saines, il échoue à reconstruire les signatures d'anomalies. Le seuil de décision optimal $\tau_{MSE}$ est déterminé sur le 99e centile des résidus sains (`ae_threshold.npy`).</w:t>
      </w:r>
    </w:p>
    <w:p>
      <w:pPr>
        <w:keepNext/>
        <w:spacing w:before="200" w:after="60"/>
        <w:jc w:val="left"/>
      </w:pPr>
      <w:r>
        <w:rPr>
          <w:rFonts w:ascii="Calibri" w:hAnsi="Calibri"/>
          <w:b/>
          <w:color w:val="1B365D"/>
          <w:sz w:val="20"/>
        </w:rPr>
        <w:t xml:space="preserve">Tableau 06 — </w:t>
      </w:r>
      <w:r>
        <w:rPr>
          <w:rFonts w:ascii="Calibri" w:hAnsi="Calibri"/>
          <w:i/>
          <w:color w:val="222222"/>
          <w:sz w:val="20"/>
        </w:rPr>
        <w:t>Configuration exhaustive des hyperparamètres d'entraînement des cinq architectures IA</w:t>
      </w:r>
    </w:p>
    <w:tbl>
      <w:tblPr>
        <w:tblW w:type="auto" w:w="0"/>
        <w:jc w:val="center"/>
        <w:tblLayout w:type="fixed"/>
        <w:tblLook w:firstColumn="1" w:firstRow="1" w:lastColumn="0" w:lastRow="0" w:noHBand="0" w:noVBand="1" w:val="04A0"/>
      </w:tblPr>
      <w:tblGrid>
        <w:gridCol w:w="2272"/>
        <w:gridCol w:w="2272"/>
        <w:gridCol w:w="2272"/>
        <w:gridCol w:w="2272"/>
      </w:tblGrid>
      <w:tr>
        <w:trPr>
          <w:tblHeader/>
        </w:trPr>
        <w:tc>
          <w:tcPr>
            <w:tcW w:type="dxa" w:w="2160"/>
            <w:vAlign w:val="center"/>
            <w:shd w:fill="1B365D"/>
          </w:tcPr>
          <w:p>
            <w:pPr>
              <w:spacing w:before="80" w:after="80"/>
              <w:jc w:val="center"/>
            </w:pPr>
            <w:r>
              <w:rPr>
                <w:rFonts w:ascii="Calibri" w:hAnsi="Calibri"/>
                <w:b/>
                <w:color w:val="FFFFFF"/>
                <w:sz w:val="20"/>
              </w:rPr>
              <w:t>Architecture Modèle</w:t>
            </w:r>
          </w:p>
        </w:tc>
        <w:tc>
          <w:tcPr>
            <w:tcW w:type="dxa" w:w="2160"/>
            <w:vAlign w:val="center"/>
            <w:shd w:fill="1B365D"/>
          </w:tcPr>
          <w:p>
            <w:pPr>
              <w:spacing w:before="80" w:after="80"/>
              <w:jc w:val="center"/>
            </w:pPr>
            <w:r>
              <w:rPr>
                <w:rFonts w:ascii="Calibri" w:hAnsi="Calibri"/>
                <w:b/>
                <w:color w:val="FFFFFF"/>
                <w:sz w:val="20"/>
              </w:rPr>
              <w:t>Type / Famille</w:t>
            </w:r>
          </w:p>
        </w:tc>
        <w:tc>
          <w:tcPr>
            <w:tcW w:type="dxa" w:w="3600"/>
            <w:vAlign w:val="center"/>
            <w:shd w:fill="1B365D"/>
          </w:tcPr>
          <w:p>
            <w:pPr>
              <w:spacing w:before="80" w:after="80"/>
              <w:jc w:val="center"/>
            </w:pPr>
            <w:r>
              <w:rPr>
                <w:rFonts w:ascii="Calibri" w:hAnsi="Calibri"/>
                <w:b/>
                <w:color w:val="FFFFFF"/>
                <w:sz w:val="20"/>
              </w:rPr>
              <w:t>Hyperparamètres Optimaux Clés</w:t>
            </w:r>
          </w:p>
        </w:tc>
        <w:tc>
          <w:tcPr>
            <w:tcW w:type="dxa" w:w="1152"/>
            <w:vAlign w:val="center"/>
            <w:shd w:fill="1B365D"/>
          </w:tcPr>
          <w:p>
            <w:pPr>
              <w:spacing w:before="80" w:after="80"/>
              <w:jc w:val="center"/>
            </w:pPr>
            <w:r>
              <w:rPr>
                <w:rFonts w:ascii="Calibri" w:hAnsi="Calibri"/>
                <w:b/>
                <w:color w:val="FFFFFF"/>
                <w:sz w:val="20"/>
              </w:rPr>
              <w:t>Taille Fichier</w:t>
            </w:r>
          </w:p>
        </w:tc>
      </w:tr>
      <w:tr>
        <w:tc>
          <w:tcPr>
            <w:tcW w:type="dxa" w:w="216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b/>
                <w:color w:val="1B365D"/>
                <w:sz w:val="19"/>
              </w:rPr>
              <w:t>Gradient Boosting</w:t>
            </w:r>
          </w:p>
        </w:tc>
        <w:tc>
          <w:tcPr>
            <w:tcW w:type="dxa" w:w="216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Supervisé (Boosting)</w:t>
            </w:r>
          </w:p>
        </w:tc>
        <w:tc>
          <w:tcPr>
            <w:tcW w:type="dxa" w:w="360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n_estimators=100, learning_rate=0.1, max_depth=3, subsample=0.8</w:t>
            </w:r>
          </w:p>
        </w:tc>
        <w:tc>
          <w:tcPr>
            <w:tcW w:type="dxa" w:w="115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30.6 KB</w:t>
            </w:r>
          </w:p>
        </w:tc>
      </w:tr>
      <w:tr>
        <w:tc>
          <w:tcPr>
            <w:tcW w:type="dxa" w:w="2160"/>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Random Forest</w:t>
            </w:r>
          </w:p>
        </w:tc>
        <w:tc>
          <w:tcPr>
            <w:tcW w:type="dxa" w:w="216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Supervisé (Bagging)</w:t>
            </w:r>
          </w:p>
        </w:tc>
        <w:tc>
          <w:tcPr>
            <w:tcW w:type="dxa" w:w="360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n_estimators=100, max_depth=10, max_features='sqrt', bootstrap=True</w:t>
            </w:r>
          </w:p>
        </w:tc>
        <w:tc>
          <w:tcPr>
            <w:tcW w:type="dxa" w:w="115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20.1 KB</w:t>
            </w:r>
          </w:p>
        </w:tc>
      </w:tr>
      <w:tr>
        <w:tc>
          <w:tcPr>
            <w:tcW w:type="dxa" w:w="216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1D-CNN Compact</w:t>
            </w:r>
          </w:p>
        </w:tc>
        <w:tc>
          <w:tcPr>
            <w:tcW w:type="dxa" w:w="216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Deep Learning (PyTorch)</w:t>
            </w:r>
          </w:p>
        </w:tc>
        <w:tc>
          <w:tcPr>
            <w:tcW w:type="dxa" w:w="360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Epochs=50, Batch=32, Adam lr=0.001, Weight_decay=1e-4, Dropout=0.2</w:t>
            </w:r>
          </w:p>
        </w:tc>
        <w:tc>
          <w:tcPr>
            <w:tcW w:type="dxa" w:w="115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11.3 KB</w:t>
            </w:r>
          </w:p>
        </w:tc>
      </w:tr>
      <w:tr>
        <w:tc>
          <w:tcPr>
            <w:tcW w:type="dxa" w:w="2160"/>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Isolation Forest</w:t>
            </w:r>
          </w:p>
        </w:tc>
        <w:tc>
          <w:tcPr>
            <w:tcW w:type="dxa" w:w="216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Non Supervisé (Arbres)</w:t>
            </w:r>
          </w:p>
        </w:tc>
        <w:tc>
          <w:tcPr>
            <w:tcW w:type="dxa" w:w="360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n_estimators=100, contamination=0.05, max_samples=256</w:t>
            </w:r>
          </w:p>
        </w:tc>
        <w:tc>
          <w:tcPr>
            <w:tcW w:type="dxa" w:w="115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573.3 KB</w:t>
            </w:r>
          </w:p>
        </w:tc>
      </w:tr>
      <w:tr>
        <w:tc>
          <w:tcPr>
            <w:tcW w:type="dxa" w:w="216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Autoencodeur</w:t>
            </w:r>
          </w:p>
        </w:tc>
        <w:tc>
          <w:tcPr>
            <w:tcW w:type="dxa" w:w="216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Non Supervisé (PyTorch)</w:t>
            </w:r>
          </w:p>
        </w:tc>
        <w:tc>
          <w:tcPr>
            <w:tcW w:type="dxa" w:w="360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Bottleneck=4, Latent ReLU, Loss=MSE, Epochs=60, Batch=16, lr=0.005</w:t>
            </w:r>
          </w:p>
        </w:tc>
        <w:tc>
          <w:tcPr>
            <w:tcW w:type="dxa" w:w="115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4.6 KB</w:t>
            </w:r>
          </w:p>
        </w:tc>
      </w:tr>
    </w:tbl>
    <w:p>
      <w:pPr>
        <w:spacing w:after="120"/>
      </w:pPr>
    </w:p>
    <w:p>
      <w:pPr>
        <w:keepNext/>
        <w:spacing w:before="240" w:after="80"/>
      </w:pPr>
      <w:r>
        <w:rPr>
          <w:rFonts w:ascii="Calibri" w:hAnsi="Calibri"/>
          <w:b/>
          <w:color w:val="2B547E"/>
          <w:sz w:val="27"/>
        </w:rPr>
        <w:t>4.4 Évaluation Comparative des Métriques de Détection en Régime Nominal</w:t>
      </w:r>
    </w:p>
    <w:p>
      <w:pPr>
        <w:spacing w:line="276" w:lineRule="auto" w:after="100"/>
        <w:jc w:val="both"/>
      </w:pPr>
      <w:r>
        <w:rPr>
          <w:rFonts w:ascii="Calibri" w:hAnsi="Calibri"/>
          <w:color w:val="222222"/>
          <w:sz w:val="22"/>
        </w:rPr>
        <w:t>L'évaluation a été réalisée sur l'ensemble de test scellé (non vu pendant l'entraînement). Les métriques conventionnelles d'évaluation binaire (Sain vs Défaillant) ont été calculées : Accuracy, Précision, Rappel et F1-Score :</w:t>
      </w:r>
    </w:p>
    <w:p>
      <w:pPr>
        <w:keepNext/>
        <w:spacing w:before="200" w:after="60"/>
        <w:jc w:val="left"/>
      </w:pPr>
      <w:r>
        <w:rPr>
          <w:rFonts w:ascii="Calibri" w:hAnsi="Calibri"/>
          <w:b/>
          <w:color w:val="1B365D"/>
          <w:sz w:val="20"/>
        </w:rPr>
        <w:t xml:space="preserve">Tableau 07 — </w:t>
      </w:r>
      <w:r>
        <w:rPr>
          <w:rFonts w:ascii="Calibri" w:hAnsi="Calibri"/>
          <w:i/>
          <w:color w:val="222222"/>
          <w:sz w:val="20"/>
        </w:rPr>
        <w:t>Performances comparatives des cinq modèles IA sur le jeu de test de référence CWRU nominal</w:t>
      </w:r>
    </w:p>
    <w:tbl>
      <w:tblPr>
        <w:tblW w:type="auto" w:w="0"/>
        <w:jc w:val="center"/>
        <w:tblLayout w:type="fixed"/>
        <w:tblLook w:firstColumn="1" w:firstRow="1" w:lastColumn="0" w:lastRow="0" w:noHBand="0" w:noVBand="1" w:val="04A0"/>
      </w:tblPr>
      <w:tblGrid>
        <w:gridCol w:w="1514"/>
        <w:gridCol w:w="1514"/>
        <w:gridCol w:w="1514"/>
        <w:gridCol w:w="1514"/>
        <w:gridCol w:w="1514"/>
        <w:gridCol w:w="1514"/>
      </w:tblGrid>
      <w:tr>
        <w:trPr>
          <w:tblHeader/>
        </w:trPr>
        <w:tc>
          <w:tcPr>
            <w:tcW w:type="dxa" w:w="2304"/>
            <w:vAlign w:val="center"/>
            <w:shd w:fill="1B365D"/>
          </w:tcPr>
          <w:p>
            <w:pPr>
              <w:spacing w:before="80" w:after="80"/>
              <w:jc w:val="center"/>
            </w:pPr>
            <w:r>
              <w:rPr>
                <w:rFonts w:ascii="Calibri" w:hAnsi="Calibri"/>
                <w:b/>
                <w:color w:val="FFFFFF"/>
                <w:sz w:val="20"/>
              </w:rPr>
              <w:t>Modèle IA</w:t>
            </w:r>
          </w:p>
        </w:tc>
        <w:tc>
          <w:tcPr>
            <w:tcW w:type="dxa" w:w="1296"/>
            <w:vAlign w:val="center"/>
            <w:shd w:fill="1B365D"/>
          </w:tcPr>
          <w:p>
            <w:pPr>
              <w:spacing w:before="80" w:after="80"/>
              <w:jc w:val="center"/>
            </w:pPr>
            <w:r>
              <w:rPr>
                <w:rFonts w:ascii="Calibri" w:hAnsi="Calibri"/>
                <w:b/>
                <w:color w:val="FFFFFF"/>
                <w:sz w:val="20"/>
              </w:rPr>
              <w:t>Accuracy</w:t>
            </w:r>
          </w:p>
        </w:tc>
        <w:tc>
          <w:tcPr>
            <w:tcW w:type="dxa" w:w="1296"/>
            <w:vAlign w:val="center"/>
            <w:shd w:fill="1B365D"/>
          </w:tcPr>
          <w:p>
            <w:pPr>
              <w:spacing w:before="80" w:after="80"/>
              <w:jc w:val="center"/>
            </w:pPr>
            <w:r>
              <w:rPr>
                <w:rFonts w:ascii="Calibri" w:hAnsi="Calibri"/>
                <w:b/>
                <w:color w:val="FFFFFF"/>
                <w:sz w:val="20"/>
              </w:rPr>
              <w:t>Précision</w:t>
            </w:r>
          </w:p>
        </w:tc>
        <w:tc>
          <w:tcPr>
            <w:tcW w:type="dxa" w:w="1296"/>
            <w:vAlign w:val="center"/>
            <w:shd w:fill="1B365D"/>
          </w:tcPr>
          <w:p>
            <w:pPr>
              <w:spacing w:before="80" w:after="80"/>
              <w:jc w:val="center"/>
            </w:pPr>
            <w:r>
              <w:rPr>
                <w:rFonts w:ascii="Calibri" w:hAnsi="Calibri"/>
                <w:b/>
                <w:color w:val="FFFFFF"/>
                <w:sz w:val="20"/>
              </w:rPr>
              <w:t>Rappel</w:t>
            </w:r>
          </w:p>
        </w:tc>
        <w:tc>
          <w:tcPr>
            <w:tcW w:type="dxa" w:w="1296"/>
            <w:vAlign w:val="center"/>
            <w:shd w:fill="1B365D"/>
          </w:tcPr>
          <w:p>
            <w:pPr>
              <w:spacing w:before="80" w:after="80"/>
              <w:jc w:val="center"/>
            </w:pPr>
            <w:r>
              <w:rPr>
                <w:rFonts w:ascii="Calibri" w:hAnsi="Calibri"/>
                <w:b/>
                <w:color w:val="FFFFFF"/>
                <w:sz w:val="20"/>
              </w:rPr>
              <w:t>F1-Score</w:t>
            </w:r>
          </w:p>
        </w:tc>
        <w:tc>
          <w:tcPr>
            <w:tcW w:type="dxa" w:w="2304"/>
            <w:vAlign w:val="center"/>
            <w:shd w:fill="1B365D"/>
          </w:tcPr>
          <w:p>
            <w:pPr>
              <w:spacing w:before="80" w:after="80"/>
              <w:jc w:val="center"/>
            </w:pPr>
            <w:r>
              <w:rPr>
                <w:rFonts w:ascii="Calibri" w:hAnsi="Calibri"/>
                <w:b/>
                <w:color w:val="FFFFFF"/>
                <w:sz w:val="20"/>
              </w:rPr>
              <w:t>Appréciation Globale</w:t>
            </w:r>
          </w:p>
        </w:tc>
      </w:tr>
      <w:tr>
        <w:tc>
          <w:tcPr>
            <w:tcW w:type="dxa" w:w="2304"/>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b/>
                <w:color w:val="1B365D"/>
                <w:sz w:val="19"/>
              </w:rPr>
              <w:t>Gradient Boosting ★</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b/>
                <w:color w:val="1B365D"/>
                <w:sz w:val="19"/>
              </w:rPr>
              <w:t>1.0000</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b/>
                <w:color w:val="1B365D"/>
                <w:sz w:val="19"/>
              </w:rPr>
              <w:t>1.0000</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b/>
                <w:color w:val="1B365D"/>
                <w:sz w:val="19"/>
              </w:rPr>
              <w:t>1.0000</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b/>
                <w:color w:val="1B365D"/>
                <w:sz w:val="19"/>
              </w:rPr>
              <w:t>1.0000</w:t>
            </w:r>
          </w:p>
        </w:tc>
        <w:tc>
          <w:tcPr>
            <w:tcW w:type="dxa" w:w="230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Excellente séparation, champion de classification.</w:t>
            </w:r>
          </w:p>
        </w:tc>
      </w:tr>
      <w:tr>
        <w:tc>
          <w:tcPr>
            <w:tcW w:type="dxa" w:w="2304"/>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Random Forest</w:t>
            </w:r>
          </w:p>
        </w:tc>
        <w:tc>
          <w:tcPr>
            <w:tcW w:type="dxa" w:w="1296"/>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b/>
                <w:color w:val="1B365D"/>
                <w:sz w:val="19"/>
              </w:rPr>
              <w:t>1.0000</w:t>
            </w:r>
          </w:p>
        </w:tc>
        <w:tc>
          <w:tcPr>
            <w:tcW w:type="dxa" w:w="1296"/>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b/>
                <w:color w:val="1B365D"/>
                <w:sz w:val="19"/>
              </w:rPr>
              <w:t>1.0000</w:t>
            </w:r>
          </w:p>
        </w:tc>
        <w:tc>
          <w:tcPr>
            <w:tcW w:type="dxa" w:w="1296"/>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b/>
                <w:color w:val="1B365D"/>
                <w:sz w:val="19"/>
              </w:rPr>
              <w:t>1.0000</w:t>
            </w:r>
          </w:p>
        </w:tc>
        <w:tc>
          <w:tcPr>
            <w:tcW w:type="dxa" w:w="1296"/>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b/>
                <w:color w:val="1B365D"/>
                <w:sz w:val="19"/>
              </w:rPr>
              <w:t>1.0000</w:t>
            </w:r>
          </w:p>
        </w:tc>
        <w:tc>
          <w:tcPr>
            <w:tcW w:type="dxa" w:w="2304"/>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Séparation parfaite, temps d'inférence légèrement supérieur.</w:t>
            </w:r>
          </w:p>
        </w:tc>
      </w:tr>
      <w:tr>
        <w:tc>
          <w:tcPr>
            <w:tcW w:type="dxa" w:w="2304"/>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1D-CNN Compact</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b/>
                <w:color w:val="1B365D"/>
                <w:sz w:val="19"/>
              </w:rPr>
              <w:t>1.0000</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b/>
                <w:color w:val="1B365D"/>
                <w:sz w:val="19"/>
              </w:rPr>
              <w:t>1.0000</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b/>
                <w:color w:val="1B365D"/>
                <w:sz w:val="19"/>
              </w:rPr>
              <w:t>1.0000</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b/>
                <w:color w:val="1B365D"/>
                <w:sz w:val="19"/>
              </w:rPr>
              <w:t>1.0000</w:t>
            </w:r>
          </w:p>
        </w:tc>
        <w:tc>
          <w:tcPr>
            <w:tcW w:type="dxa" w:w="230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Convergence optimale, modèle ultra-léger.</w:t>
            </w:r>
          </w:p>
        </w:tc>
      </w:tr>
      <w:tr>
        <w:tc>
          <w:tcPr>
            <w:tcW w:type="dxa" w:w="2304"/>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Isolation Forest</w:t>
            </w:r>
          </w:p>
        </w:tc>
        <w:tc>
          <w:tcPr>
            <w:tcW w:type="dxa" w:w="1296"/>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b/>
                <w:color w:val="1B365D"/>
                <w:sz w:val="19"/>
              </w:rPr>
              <w:t>1.0000</w:t>
            </w:r>
          </w:p>
        </w:tc>
        <w:tc>
          <w:tcPr>
            <w:tcW w:type="dxa" w:w="1296"/>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b/>
                <w:color w:val="1B365D"/>
                <w:sz w:val="19"/>
              </w:rPr>
              <w:t>1.0000</w:t>
            </w:r>
          </w:p>
        </w:tc>
        <w:tc>
          <w:tcPr>
            <w:tcW w:type="dxa" w:w="1296"/>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b/>
                <w:color w:val="1B365D"/>
                <w:sz w:val="19"/>
              </w:rPr>
              <w:t>1.0000</w:t>
            </w:r>
          </w:p>
        </w:tc>
        <w:tc>
          <w:tcPr>
            <w:tcW w:type="dxa" w:w="1296"/>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b/>
                <w:color w:val="1B365D"/>
                <w:sz w:val="19"/>
              </w:rPr>
              <w:t>1.0000</w:t>
            </w:r>
          </w:p>
        </w:tc>
        <w:tc>
          <w:tcPr>
            <w:tcW w:type="dxa" w:w="2304"/>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Excellente détection non supervisée en nominal.</w:t>
            </w:r>
          </w:p>
        </w:tc>
      </w:tr>
      <w:tr>
        <w:tc>
          <w:tcPr>
            <w:tcW w:type="dxa" w:w="2304"/>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Autoencodeur PyTorch</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0.1416</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b/>
                <w:color w:val="1B365D"/>
                <w:sz w:val="19"/>
              </w:rPr>
              <w:t>1.0000</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0.0431</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0.0826</w:t>
            </w:r>
          </w:p>
        </w:tc>
        <w:tc>
          <w:tcPr>
            <w:tcW w:type="dxa" w:w="230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Sensible au seuil global ; nécessite un recalibrage par sous-classe.</w:t>
            </w:r>
          </w:p>
        </w:tc>
      </w:tr>
    </w:tbl>
    <w:p>
      <w:pPr>
        <w:spacing w:after="120"/>
      </w:pPr>
    </w:p>
    <w:p>
      <w:pPr>
        <w:keepNext/>
        <w:spacing w:before="240" w:after="80"/>
      </w:pPr>
      <w:r>
        <w:rPr>
          <w:rFonts w:ascii="Calibri" w:hAnsi="Calibri"/>
          <w:b/>
          <w:color w:val="2B547E"/>
          <w:sz w:val="27"/>
        </w:rPr>
        <w:t>4.5 Évaluation de la Résilience sous Perturbations et Bruit Gaussien</w:t>
      </w:r>
    </w:p>
    <w:p>
      <w:pPr>
        <w:spacing w:line="276" w:lineRule="auto" w:after="100"/>
        <w:jc w:val="both"/>
      </w:pPr>
      <w:r>
        <w:rPr>
          <w:rFonts w:ascii="Calibri" w:hAnsi="Calibri"/>
          <w:color w:val="222222"/>
          <w:sz w:val="22"/>
        </w:rPr>
        <w:t>Pour tester la robustesse des modèles face aux agressions environnementales d'usine, nous avons injecté différents niveaux de bruit blanc gaussien (rapport signal sur bruit de 20 dB à -5 dB) et évalué la dégradation du F1-Score :</w:t>
      </w:r>
    </w:p>
    <w:p>
      <w:pPr>
        <w:keepNext/>
        <w:spacing w:before="200" w:after="60"/>
        <w:jc w:val="left"/>
      </w:pPr>
      <w:r>
        <w:rPr>
          <w:rFonts w:ascii="Calibri" w:hAnsi="Calibri"/>
          <w:b/>
          <w:color w:val="1B365D"/>
          <w:sz w:val="20"/>
        </w:rPr>
        <w:t xml:space="preserve">Tableau 08 — </w:t>
      </w:r>
      <w:r>
        <w:rPr>
          <w:rFonts w:ascii="Calibri" w:hAnsi="Calibri"/>
          <w:i/>
          <w:color w:val="222222"/>
          <w:sz w:val="20"/>
        </w:rPr>
        <w:t>Évaluation de la robustesse des modèles sous injection de bruit gaussien sévère (F1-Score en fonction du SNR)</w:t>
      </w:r>
    </w:p>
    <w:tbl>
      <w:tblPr>
        <w:tblW w:type="auto" w:w="0"/>
        <w:jc w:val="center"/>
        <w:tblLayout w:type="fixed"/>
        <w:tblLook w:firstColumn="1" w:firstRow="1" w:lastColumn="0" w:lastRow="0" w:noHBand="0" w:noVBand="1" w:val="04A0"/>
      </w:tblPr>
      <w:tblGrid>
        <w:gridCol w:w="1514"/>
        <w:gridCol w:w="1514"/>
        <w:gridCol w:w="1514"/>
        <w:gridCol w:w="1514"/>
        <w:gridCol w:w="1514"/>
        <w:gridCol w:w="1514"/>
      </w:tblGrid>
      <w:tr>
        <w:trPr>
          <w:tblHeader/>
        </w:trPr>
        <w:tc>
          <w:tcPr>
            <w:tcW w:type="dxa" w:w="2304"/>
            <w:vAlign w:val="center"/>
            <w:shd w:fill="1B365D"/>
          </w:tcPr>
          <w:p>
            <w:pPr>
              <w:spacing w:before="80" w:after="80"/>
              <w:jc w:val="center"/>
            </w:pPr>
            <w:r>
              <w:rPr>
                <w:rFonts w:ascii="Calibri" w:hAnsi="Calibri"/>
                <w:b/>
                <w:color w:val="FFFFFF"/>
                <w:sz w:val="20"/>
              </w:rPr>
              <w:t>Modèle IA</w:t>
            </w:r>
          </w:p>
        </w:tc>
        <w:tc>
          <w:tcPr>
            <w:tcW w:type="dxa" w:w="1440"/>
            <w:vAlign w:val="center"/>
            <w:shd w:fill="1B365D"/>
          </w:tcPr>
          <w:p>
            <w:pPr>
              <w:spacing w:before="80" w:after="80"/>
              <w:jc w:val="center"/>
            </w:pPr>
            <w:r>
              <w:rPr>
                <w:rFonts w:ascii="Calibri" w:hAnsi="Calibri"/>
                <w:b/>
                <w:color w:val="FFFFFF"/>
                <w:sz w:val="20"/>
              </w:rPr>
              <w:t>F1 (Nominal)</w:t>
            </w:r>
          </w:p>
        </w:tc>
        <w:tc>
          <w:tcPr>
            <w:tcW w:type="dxa" w:w="1440"/>
            <w:vAlign w:val="center"/>
            <w:shd w:fill="1B365D"/>
          </w:tcPr>
          <w:p>
            <w:pPr>
              <w:spacing w:before="80" w:after="80"/>
              <w:jc w:val="center"/>
            </w:pPr>
            <w:r>
              <w:rPr>
                <w:rFonts w:ascii="Calibri" w:hAnsi="Calibri"/>
                <w:b/>
                <w:color w:val="FFFFFF"/>
                <w:sz w:val="20"/>
              </w:rPr>
              <w:t>F1 (SNR = 20 dB)</w:t>
            </w:r>
          </w:p>
        </w:tc>
        <w:tc>
          <w:tcPr>
            <w:tcW w:type="dxa" w:w="1440"/>
            <w:vAlign w:val="center"/>
            <w:shd w:fill="1B365D"/>
          </w:tcPr>
          <w:p>
            <w:pPr>
              <w:spacing w:before="80" w:after="80"/>
              <w:jc w:val="center"/>
            </w:pPr>
            <w:r>
              <w:rPr>
                <w:rFonts w:ascii="Calibri" w:hAnsi="Calibri"/>
                <w:b/>
                <w:color w:val="FFFFFF"/>
                <w:sz w:val="20"/>
              </w:rPr>
              <w:t>F1 (SNR = 10 dB)</w:t>
            </w:r>
          </w:p>
        </w:tc>
        <w:tc>
          <w:tcPr>
            <w:tcW w:type="dxa" w:w="1440"/>
            <w:vAlign w:val="center"/>
            <w:shd w:fill="1B365D"/>
          </w:tcPr>
          <w:p>
            <w:pPr>
              <w:spacing w:before="80" w:after="80"/>
              <w:jc w:val="center"/>
            </w:pPr>
            <w:r>
              <w:rPr>
                <w:rFonts w:ascii="Calibri" w:hAnsi="Calibri"/>
                <w:b/>
                <w:color w:val="FFFFFF"/>
                <w:sz w:val="20"/>
              </w:rPr>
              <w:t>F1 (SNR = 0 dB)</w:t>
            </w:r>
          </w:p>
        </w:tc>
        <w:tc>
          <w:tcPr>
            <w:tcW w:type="dxa" w:w="1440"/>
            <w:vAlign w:val="center"/>
            <w:shd w:fill="1B365D"/>
          </w:tcPr>
          <w:p>
            <w:pPr>
              <w:spacing w:before="80" w:after="80"/>
              <w:jc w:val="center"/>
            </w:pPr>
            <w:r>
              <w:rPr>
                <w:rFonts w:ascii="Calibri" w:hAnsi="Calibri"/>
                <w:b/>
                <w:color w:val="FFFFFF"/>
                <w:sz w:val="20"/>
              </w:rPr>
              <w:t>F1 (SNR = -5 dB)</w:t>
            </w:r>
          </w:p>
        </w:tc>
      </w:tr>
      <w:tr>
        <w:tc>
          <w:tcPr>
            <w:tcW w:type="dxa" w:w="2304"/>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b/>
                <w:color w:val="1B365D"/>
                <w:sz w:val="19"/>
              </w:rPr>
              <w:t>Gradient Boosting ★</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b/>
                <w:color w:val="1B365D"/>
                <w:sz w:val="19"/>
              </w:rPr>
              <w:t>1.0000</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0.9982</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0.9914</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0.9785</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0.9420</w:t>
            </w:r>
          </w:p>
        </w:tc>
      </w:tr>
      <w:tr>
        <w:tc>
          <w:tcPr>
            <w:tcW w:type="dxa" w:w="2304"/>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Random Forest</w:t>
            </w:r>
          </w:p>
        </w:tc>
        <w:tc>
          <w:tcPr>
            <w:tcW w:type="dxa" w:w="144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b/>
                <w:color w:val="1B365D"/>
                <w:sz w:val="19"/>
              </w:rPr>
              <w:t>1.0000</w:t>
            </w:r>
          </w:p>
        </w:tc>
        <w:tc>
          <w:tcPr>
            <w:tcW w:type="dxa" w:w="144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0.9950</w:t>
            </w:r>
          </w:p>
        </w:tc>
        <w:tc>
          <w:tcPr>
            <w:tcW w:type="dxa" w:w="144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0.9820</w:t>
            </w:r>
          </w:p>
        </w:tc>
        <w:tc>
          <w:tcPr>
            <w:tcW w:type="dxa" w:w="144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0.9652</w:t>
            </w:r>
          </w:p>
        </w:tc>
        <w:tc>
          <w:tcPr>
            <w:tcW w:type="dxa" w:w="144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0.9110</w:t>
            </w:r>
          </w:p>
        </w:tc>
      </w:tr>
      <w:tr>
        <w:tc>
          <w:tcPr>
            <w:tcW w:type="dxa" w:w="2304"/>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1D-CNN Compact</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b/>
                <w:color w:val="1B365D"/>
                <w:sz w:val="19"/>
              </w:rPr>
              <w:t>1.0000</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0.9920</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0.9790</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0.9610</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0.8950</w:t>
            </w:r>
          </w:p>
        </w:tc>
      </w:tr>
      <w:tr>
        <w:tc>
          <w:tcPr>
            <w:tcW w:type="dxa" w:w="2304"/>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Isolation Forest</w:t>
            </w:r>
          </w:p>
        </w:tc>
        <w:tc>
          <w:tcPr>
            <w:tcW w:type="dxa" w:w="144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b/>
                <w:color w:val="1B365D"/>
                <w:sz w:val="19"/>
              </w:rPr>
              <w:t>1.0000</w:t>
            </w:r>
          </w:p>
        </w:tc>
        <w:tc>
          <w:tcPr>
            <w:tcW w:type="dxa" w:w="144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0.9710</w:t>
            </w:r>
          </w:p>
        </w:tc>
        <w:tc>
          <w:tcPr>
            <w:tcW w:type="dxa" w:w="144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0.9430</w:t>
            </w:r>
          </w:p>
        </w:tc>
        <w:tc>
          <w:tcPr>
            <w:tcW w:type="dxa" w:w="144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0.9120</w:t>
            </w:r>
          </w:p>
        </w:tc>
        <w:tc>
          <w:tcPr>
            <w:tcW w:type="dxa" w:w="144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0.8240</w:t>
            </w:r>
          </w:p>
        </w:tc>
      </w:tr>
      <w:tr>
        <w:tc>
          <w:tcPr>
            <w:tcW w:type="dxa" w:w="2304"/>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Autoencodeur</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0.0826</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0.0790</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0.0740</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0.0710</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0.0520</w:t>
            </w:r>
          </w:p>
        </w:tc>
      </w:tr>
    </w:tbl>
    <w:p>
      <w:pPr>
        <w:spacing w:after="120"/>
      </w:pPr>
    </w:p>
    <w:p>
      <w:pPr>
        <w:spacing w:before="200" w:after="80"/>
        <w:jc w:val="center"/>
      </w:pPr>
      <w:r>
        <w:drawing>
          <wp:inline xmlns:a="http://schemas.openxmlformats.org/drawingml/2006/main" xmlns:pic="http://schemas.openxmlformats.org/drawingml/2006/picture">
            <wp:extent cx="5303520" cy="1031240"/>
            <wp:docPr id="5" name="Picture 5"/>
            <wp:cNvGraphicFramePr>
              <a:graphicFrameLocks noChangeAspect="1"/>
            </wp:cNvGraphicFramePr>
            <a:graphic>
              <a:graphicData uri="http://schemas.openxmlformats.org/drawingml/2006/picture">
                <pic:pic>
                  <pic:nvPicPr>
                    <pic:cNvPr id="0" name="04_confusion_matrices.png"/>
                    <pic:cNvPicPr/>
                  </pic:nvPicPr>
                  <pic:blipFill>
                    <a:blip r:embed="rId15"/>
                    <a:stretch>
                      <a:fillRect/>
                    </a:stretch>
                  </pic:blipFill>
                  <pic:spPr>
                    <a:xfrm>
                      <a:off x="0" y="0"/>
                      <a:ext cx="5303520" cy="1031240"/>
                    </a:xfrm>
                    <a:prstGeom prst="rect"/>
                  </pic:spPr>
                </pic:pic>
              </a:graphicData>
            </a:graphic>
          </wp:inline>
        </w:drawing>
      </w:r>
    </w:p>
    <w:p>
      <w:pPr>
        <w:spacing w:before="40" w:after="240"/>
        <w:jc w:val="center"/>
      </w:pPr>
      <w:r>
        <w:rPr>
          <w:rFonts w:ascii="Calibri" w:hAnsi="Calibri"/>
          <w:b/>
          <w:color w:val="1B365D"/>
          <w:sz w:val="19"/>
        </w:rPr>
        <w:t xml:space="preserve">Figure 4.1 — </w:t>
      </w:r>
      <w:r>
        <w:rPr>
          <w:rFonts w:ascii="Calibri" w:hAnsi="Calibri"/>
          <w:i/>
          <w:color w:val="64748B"/>
          <w:sz w:val="19"/>
        </w:rPr>
        <w:t>Matrices de confusion comparatives des modèles en régime nominal et perturbé (taux de vrais positifs et faux positifs)</w:t>
      </w:r>
    </w:p>
    <w:p>
      <w:pPr>
        <w:spacing w:before="200" w:after="80"/>
        <w:jc w:val="center"/>
      </w:pPr>
      <w:r>
        <w:drawing>
          <wp:inline xmlns:a="http://schemas.openxmlformats.org/drawingml/2006/main" xmlns:pic="http://schemas.openxmlformats.org/drawingml/2006/picture">
            <wp:extent cx="5303520" cy="3977640"/>
            <wp:docPr id="6" name="Picture 6"/>
            <wp:cNvGraphicFramePr>
              <a:graphicFrameLocks noChangeAspect="1"/>
            </wp:cNvGraphicFramePr>
            <a:graphic>
              <a:graphicData uri="http://schemas.openxmlformats.org/drawingml/2006/picture">
                <pic:pic>
                  <pic:nvPicPr>
                    <pic:cNvPr id="0" name="05_roc_curves.png"/>
                    <pic:cNvPicPr/>
                  </pic:nvPicPr>
                  <pic:blipFill>
                    <a:blip r:embed="rId16"/>
                    <a:stretch>
                      <a:fillRect/>
                    </a:stretch>
                  </pic:blipFill>
                  <pic:spPr>
                    <a:xfrm>
                      <a:off x="0" y="0"/>
                      <a:ext cx="5303520" cy="3977640"/>
                    </a:xfrm>
                    <a:prstGeom prst="rect"/>
                  </pic:spPr>
                </pic:pic>
              </a:graphicData>
            </a:graphic>
          </wp:inline>
        </w:drawing>
      </w:r>
    </w:p>
    <w:p>
      <w:pPr>
        <w:spacing w:before="40" w:after="240"/>
        <w:jc w:val="center"/>
      </w:pPr>
      <w:r>
        <w:rPr>
          <w:rFonts w:ascii="Calibri" w:hAnsi="Calibri"/>
          <w:b/>
          <w:color w:val="1B365D"/>
          <w:sz w:val="19"/>
        </w:rPr>
        <w:t xml:space="preserve">Figure 4.2 — </w:t>
      </w:r>
      <w:r>
        <w:rPr>
          <w:rFonts w:ascii="Calibri" w:hAnsi="Calibri"/>
          <w:i/>
          <w:color w:val="64748B"/>
          <w:sz w:val="19"/>
        </w:rPr>
        <w:t>Courbes ROC (Receiver Operating Characteristic) et scores AUC comparatifs des classifieurs</w:t>
      </w:r>
    </w:p>
    <w:tbl>
      <w:tblPr>
        <w:tblW w:type="auto" w:w="0"/>
        <w:jc w:val="center"/>
        <w:tblLayout w:type="fixed"/>
        <w:tblLook w:firstColumn="1" w:firstRow="1" w:lastColumn="0" w:lastRow="0" w:noHBand="0" w:noVBand="1" w:val="04A0"/>
      </w:tblPr>
      <w:tblGrid>
        <w:gridCol w:w="9087"/>
      </w:tblGrid>
      <w:tr>
        <w:tc>
          <w:tcPr>
            <w:tcW w:type="dxa" w:w="9072"/>
            <w:shd w:fill="F0F4F8"/>
            <w:tcBorders>
              <w:top w:val="none"/>
              <w:left w:val="single" w:sz="32" w:space="0" w:color="2E7D32"/>
              <w:bottom w:val="none"/>
              <w:right w:val="none"/>
            </w:tcBorders>
            <w:tcMar>
              <w:top w:w="140" w:type="dxa"/>
              <w:left w:w="200" w:type="dxa"/>
              <w:bottom w:w="140" w:type="dxa"/>
              <w:right w:w="200" w:type="dxa"/>
            </w:tcMar>
          </w:tcPr>
          <w:p>
            <w:pPr>
              <w:spacing w:before="80" w:after="40"/>
              <w:jc w:val="both"/>
            </w:pPr>
            <w:r>
              <w:rPr>
                <w:rFonts w:ascii="Calibri" w:hAnsi="Calibri"/>
                <w:b/>
                <w:color w:val="2E7D32"/>
                <w:sz w:val="21"/>
              </w:rPr>
              <w:t>[DÉCISION CLÉ DE CONCEPTION] Sélection du Modèle Champion Edge</w:t>
              <w:br/>
            </w:r>
            <w:r>
              <w:rPr>
                <w:rFonts w:ascii="Calibri" w:hAnsi="Calibri"/>
                <w:i w:val="0"/>
                <w:color w:val="222222"/>
                <w:sz w:val="20"/>
              </w:rPr>
              <w:t>À l'issue de cette campagne d'évaluation approfondie, le **Gradient Boosting** s'impose sans conteste comme le champion absolu de la détection embarquée. Il conjugue une précision parfaite en nominal (F1 = 1.000), la plus haute résistance au bruit industriel (F1 = 0.978 à SNR = 0 dB), et une stabilité remarquable grâce à la régularisation par arbres peu profonds.</w:t>
            </w:r>
          </w:p>
        </w:tc>
      </w:tr>
    </w:tbl>
    <w:p>
      <w:pPr>
        <w:spacing w:after="80"/>
      </w:pPr>
    </w:p>
    <w:p>
      <w:r>
        <w:br w:type="page"/>
      </w:r>
    </w:p>
    <w:p>
      <w:pPr>
        <w:keepNext/>
        <w:spacing w:before="280" w:after="160"/>
      </w:pPr>
      <w:r>
        <w:rPr>
          <w:rFonts w:ascii="Calibri" w:hAnsi="Calibri"/>
          <w:b/>
          <w:color w:val="1B365D"/>
          <w:sz w:val="34"/>
        </w:rPr>
        <w:t>Chapitre 5 : Inférence Embarquée, Profilage Matériel &amp; Robustesse sur Raspberry Pi</w:t>
      </w:r>
    </w:p>
    <w:p>
      <w:pPr>
        <w:keepNext/>
        <w:spacing w:before="240" w:after="80"/>
      </w:pPr>
      <w:r>
        <w:rPr>
          <w:rFonts w:ascii="Calibri" w:hAnsi="Calibri"/>
          <w:b/>
          <w:color w:val="2B547E"/>
          <w:sz w:val="27"/>
        </w:rPr>
        <w:t>5.1 Architecture du Moteur d'Inférence Temps Réel et Simulation de Flux IoT</w:t>
      </w:r>
    </w:p>
    <w:p>
      <w:pPr>
        <w:spacing w:line="276" w:lineRule="auto" w:after="100"/>
        <w:jc w:val="both"/>
      </w:pPr>
      <w:r>
        <w:rPr>
          <w:rFonts w:ascii="Calibri" w:hAnsi="Calibri"/>
          <w:b/>
          <w:color w:val="1B365D"/>
          <w:sz w:val="22"/>
        </w:rPr>
        <w:t xml:space="preserve">Pipeline d'Inférence Streaming : </w:t>
      </w:r>
      <w:r>
        <w:rPr>
          <w:rFonts w:ascii="Calibri" w:hAnsi="Calibri"/>
          <w:color w:val="222222"/>
          <w:sz w:val="22"/>
        </w:rPr>
        <w:t>Le moteur d'inférence embarqué a été implémenté dans le script `raspberry/inference_edge.py`. Il est conçu pour fonctionner en démon autonome sur architecture Linux ARM64. Le pipeline comprend :</w:t>
      </w:r>
    </w:p>
    <w:p>
      <w:pPr>
        <w:pStyle w:val="ListBullet"/>
        <w:spacing w:line="276" w:lineRule="auto" w:after="60"/>
        <w:jc w:val="both"/>
      </w:pPr>
      <w:r>
        <w:rPr>
          <w:rFonts w:ascii="Calibri" w:hAnsi="Calibri"/>
          <w:b/>
          <w:color w:val="2B547E"/>
          <w:sz w:val="22"/>
        </w:rPr>
        <w:t xml:space="preserve">1. Acquisition &amp; Buffer : </w:t>
      </w:r>
      <w:r>
        <w:rPr>
          <w:rFonts w:ascii="Calibri" w:hAnsi="Calibri"/>
          <w:color w:val="222222"/>
          <w:sz w:val="22"/>
        </w:rPr>
        <w:t>Acquisition du signal vibratoire par lecture d'un buffer circulaire glissant de 1024 points (simulant le bus SPI/I2C ou UART d'un capteur accélérométrique MEMS).</w:t>
      </w:r>
    </w:p>
    <w:p>
      <w:pPr>
        <w:pStyle w:val="ListBullet"/>
        <w:spacing w:line="276" w:lineRule="auto" w:after="60"/>
        <w:jc w:val="both"/>
      </w:pPr>
      <w:r>
        <w:rPr>
          <w:rFonts w:ascii="Calibri" w:hAnsi="Calibri"/>
          <w:b/>
          <w:color w:val="2B547E"/>
          <w:sz w:val="22"/>
        </w:rPr>
        <w:t xml:space="preserve">2. Extraction Vectorisée : </w:t>
      </w:r>
      <w:r>
        <w:rPr>
          <w:rFonts w:ascii="Calibri" w:hAnsi="Calibri"/>
          <w:color w:val="222222"/>
          <w:sz w:val="22"/>
        </w:rPr>
        <w:t>Extraction temps réel des 16 features temporelles et FFT via des opérations vectorisées NumPy C-optimisées en moins de 0.08 ms.</w:t>
      </w:r>
    </w:p>
    <w:p>
      <w:pPr>
        <w:pStyle w:val="ListBullet"/>
        <w:spacing w:line="276" w:lineRule="auto" w:after="60"/>
        <w:jc w:val="both"/>
      </w:pPr>
      <w:r>
        <w:rPr>
          <w:rFonts w:ascii="Calibri" w:hAnsi="Calibri"/>
          <w:b/>
          <w:color w:val="2B547E"/>
          <w:sz w:val="22"/>
        </w:rPr>
        <w:t xml:space="preserve">3. Normalisation Standard : </w:t>
      </w:r>
      <w:r>
        <w:rPr>
          <w:rFonts w:ascii="Calibri" w:hAnsi="Calibri"/>
          <w:color w:val="222222"/>
          <w:sz w:val="22"/>
        </w:rPr>
        <w:t>Application du scaler StandardScaler normalisé sans allocation mémoire dynamique superflue.</w:t>
      </w:r>
    </w:p>
    <w:p>
      <w:pPr>
        <w:pStyle w:val="ListBullet"/>
        <w:spacing w:line="276" w:lineRule="auto" w:after="60"/>
        <w:jc w:val="both"/>
      </w:pPr>
      <w:r>
        <w:rPr>
          <w:rFonts w:ascii="Calibri" w:hAnsi="Calibri"/>
          <w:b/>
          <w:color w:val="2B547E"/>
          <w:sz w:val="22"/>
        </w:rPr>
        <w:t xml:space="preserve">4. Inférence Algorithmique : </w:t>
      </w:r>
      <w:r>
        <w:rPr>
          <w:rFonts w:ascii="Calibri" w:hAnsi="Calibri"/>
          <w:color w:val="222222"/>
          <w:sz w:val="22"/>
        </w:rPr>
        <w:t>Exécution de la passe avant (predict) du modèle champion Gradient Boosting en C compilé via Cython/Scikit-Learn.</w:t>
      </w:r>
    </w:p>
    <w:p>
      <w:pPr>
        <w:pStyle w:val="ListBullet"/>
        <w:spacing w:line="276" w:lineRule="auto" w:after="60"/>
        <w:jc w:val="both"/>
      </w:pPr>
      <w:r>
        <w:rPr>
          <w:rFonts w:ascii="Calibri" w:hAnsi="Calibri"/>
          <w:b/>
          <w:color w:val="2B547E"/>
          <w:sz w:val="22"/>
        </w:rPr>
        <w:t xml:space="preserve">5. Télémétrie &amp; Logs : </w:t>
      </w:r>
      <w:r>
        <w:rPr>
          <w:rFonts w:ascii="Calibri" w:hAnsi="Calibri"/>
          <w:color w:val="222222"/>
          <w:sz w:val="22"/>
        </w:rPr>
        <w:t>Journalisation locale horodatée au format JSON Lines (`raspberry/logs/inference_stream.log`) pour traçabilité industrielle sans blocage d'I/O.</w:t>
      </w:r>
    </w:p>
    <w:p>
      <w:pPr>
        <w:keepNext/>
        <w:spacing w:before="240" w:after="80"/>
      </w:pPr>
      <w:r>
        <w:rPr>
          <w:rFonts w:ascii="Calibri" w:hAnsi="Calibri"/>
          <w:b/>
          <w:color w:val="2B547E"/>
          <w:sz w:val="27"/>
        </w:rPr>
        <w:t>5.2 Protocole Expérimental de Profilage des Ressources (Latence, Débit, RAM, CPU)</w:t>
      </w:r>
    </w:p>
    <w:p>
      <w:pPr>
        <w:spacing w:line="276" w:lineRule="auto" w:after="100"/>
        <w:jc w:val="both"/>
      </w:pPr>
      <w:r>
        <w:rPr>
          <w:rFonts w:ascii="Calibri" w:hAnsi="Calibri"/>
          <w:color w:val="222222"/>
          <w:sz w:val="22"/>
        </w:rPr>
        <w:t>Le profilage de performance a été conduit à l'aide du script dédié `raspberry/benchmark_edge.py` sur nano-ordinateur Raspberry Pi 4. Le protocole de mesure repose sur :</w:t>
      </w:r>
    </w:p>
    <w:p>
      <w:pPr>
        <w:pStyle w:val="ListBullet"/>
        <w:spacing w:line="276" w:lineRule="auto" w:after="60"/>
        <w:jc w:val="both"/>
      </w:pPr>
      <w:r>
        <w:rPr>
          <w:rFonts w:ascii="Calibri" w:hAnsi="Calibri"/>
          <w:b/>
          <w:color w:val="2B547E"/>
          <w:sz w:val="22"/>
        </w:rPr>
        <w:t xml:space="preserve">Mesure de Latence : </w:t>
      </w:r>
      <w:r>
        <w:rPr>
          <w:rFonts w:ascii="Calibri" w:hAnsi="Calibri"/>
          <w:color w:val="222222"/>
          <w:sz w:val="22"/>
        </w:rPr>
        <w:t>Un préchauffage du processeur et des caches L1/L2 sur 100 itérations, suivi de 1 000 inférences consécutives synchronisées avec l'horloge haute précision `time.perf_counter_ns()`.</w:t>
      </w:r>
    </w:p>
    <w:p>
      <w:pPr>
        <w:pStyle w:val="ListBullet"/>
        <w:spacing w:line="276" w:lineRule="auto" w:after="60"/>
        <w:jc w:val="both"/>
      </w:pPr>
      <w:r>
        <w:rPr>
          <w:rFonts w:ascii="Calibri" w:hAnsi="Calibri"/>
          <w:b/>
          <w:color w:val="2B547E"/>
          <w:sz w:val="22"/>
        </w:rPr>
        <w:t xml:space="preserve">Consommation RAM et CPU : </w:t>
      </w:r>
      <w:r>
        <w:rPr>
          <w:rFonts w:ascii="Calibri" w:hAnsi="Calibri"/>
          <w:color w:val="222222"/>
          <w:sz w:val="22"/>
        </w:rPr>
        <w:t>La surveillance de l'empreinte mémoire résidente (Resident Set Size - RSS) et de la charge CPU par processus via la bibliothèque `psutil` échantillonnée à 100 Hz.</w:t>
      </w:r>
    </w:p>
    <w:p>
      <w:pPr>
        <w:pStyle w:val="ListBullet"/>
        <w:spacing w:line="276" w:lineRule="auto" w:after="60"/>
        <w:jc w:val="both"/>
      </w:pPr>
      <w:r>
        <w:rPr>
          <w:rFonts w:ascii="Calibri" w:hAnsi="Calibri"/>
          <w:b/>
          <w:color w:val="2B547E"/>
          <w:sz w:val="22"/>
        </w:rPr>
        <w:t xml:space="preserve">Profilage Thermique : </w:t>
      </w:r>
      <w:r>
        <w:rPr>
          <w:rFonts w:ascii="Calibri" w:hAnsi="Calibri"/>
          <w:color w:val="222222"/>
          <w:sz w:val="22"/>
        </w:rPr>
        <w:t>L'évaluation de la stabilité thermique du SoC Broadcom BCM2711 sous charge continue de 10 minutes d'inférence à plein débit.</w:t>
      </w:r>
    </w:p>
    <w:p>
      <w:pPr>
        <w:keepNext/>
        <w:spacing w:before="200" w:after="60"/>
        <w:jc w:val="left"/>
      </w:pPr>
      <w:r>
        <w:rPr>
          <w:rFonts w:ascii="Calibri" w:hAnsi="Calibri"/>
          <w:b/>
          <w:color w:val="1B365D"/>
          <w:sz w:val="20"/>
        </w:rPr>
        <w:t xml:space="preserve">Tableau 09 — </w:t>
      </w:r>
      <w:r>
        <w:rPr>
          <w:rFonts w:ascii="Calibri" w:hAnsi="Calibri"/>
          <w:i/>
          <w:color w:val="222222"/>
          <w:sz w:val="20"/>
        </w:rPr>
        <w:t>Résultats expérimentaux du profilage de ressources et de latence d'inférence sur nano-calculateur Raspberry Pi 4</w:t>
      </w:r>
    </w:p>
    <w:tbl>
      <w:tblPr>
        <w:tblW w:type="auto" w:w="0"/>
        <w:jc w:val="center"/>
        <w:tblLayout w:type="fixed"/>
        <w:tblLook w:firstColumn="1" w:firstRow="1" w:lastColumn="0" w:lastRow="0" w:noHBand="0" w:noVBand="1" w:val="04A0"/>
      </w:tblPr>
      <w:tblGrid>
        <w:gridCol w:w="1514"/>
        <w:gridCol w:w="1514"/>
        <w:gridCol w:w="1514"/>
        <w:gridCol w:w="1514"/>
        <w:gridCol w:w="1514"/>
        <w:gridCol w:w="1514"/>
      </w:tblGrid>
      <w:tr>
        <w:trPr>
          <w:tblHeader/>
        </w:trPr>
        <w:tc>
          <w:tcPr>
            <w:tcW w:type="dxa" w:w="2160"/>
            <w:vAlign w:val="center"/>
            <w:shd w:fill="1B365D"/>
          </w:tcPr>
          <w:p>
            <w:pPr>
              <w:spacing w:before="80" w:after="80"/>
              <w:jc w:val="center"/>
            </w:pPr>
            <w:r>
              <w:rPr>
                <w:rFonts w:ascii="Calibri" w:hAnsi="Calibri"/>
                <w:b/>
                <w:color w:val="FFFFFF"/>
                <w:sz w:val="20"/>
              </w:rPr>
              <w:t>Modèle IA</w:t>
            </w:r>
          </w:p>
        </w:tc>
        <w:tc>
          <w:tcPr>
            <w:tcW w:type="dxa" w:w="1728"/>
            <w:vAlign w:val="center"/>
            <w:shd w:fill="1B365D"/>
          </w:tcPr>
          <w:p>
            <w:pPr>
              <w:spacing w:before="80" w:after="80"/>
              <w:jc w:val="center"/>
            </w:pPr>
            <w:r>
              <w:rPr>
                <w:rFonts w:ascii="Calibri" w:hAnsi="Calibri"/>
                <w:b/>
                <w:color w:val="FFFFFF"/>
                <w:sz w:val="20"/>
              </w:rPr>
              <w:t>Latence Moyenne (ms)</w:t>
            </w:r>
          </w:p>
        </w:tc>
        <w:tc>
          <w:tcPr>
            <w:tcW w:type="dxa" w:w="1728"/>
            <w:vAlign w:val="center"/>
            <w:shd w:fill="1B365D"/>
          </w:tcPr>
          <w:p>
            <w:pPr>
              <w:spacing w:before="80" w:after="80"/>
              <w:jc w:val="center"/>
            </w:pPr>
            <w:r>
              <w:rPr>
                <w:rFonts w:ascii="Calibri" w:hAnsi="Calibri"/>
                <w:b/>
                <w:color w:val="FFFFFF"/>
                <w:sz w:val="20"/>
              </w:rPr>
              <w:t>Débit (fenêtres/sec)</w:t>
            </w:r>
          </w:p>
        </w:tc>
        <w:tc>
          <w:tcPr>
            <w:tcW w:type="dxa" w:w="1584"/>
            <w:vAlign w:val="center"/>
            <w:shd w:fill="1B365D"/>
          </w:tcPr>
          <w:p>
            <w:pPr>
              <w:spacing w:before="80" w:after="80"/>
              <w:jc w:val="center"/>
            </w:pPr>
            <w:r>
              <w:rPr>
                <w:rFonts w:ascii="Calibri" w:hAnsi="Calibri"/>
                <w:b/>
                <w:color w:val="FFFFFF"/>
                <w:sz w:val="20"/>
              </w:rPr>
              <w:t>Empreinte RAM (Mo)</w:t>
            </w:r>
          </w:p>
        </w:tc>
        <w:tc>
          <w:tcPr>
            <w:tcW w:type="dxa" w:w="1440"/>
            <w:vAlign w:val="center"/>
            <w:shd w:fill="1B365D"/>
          </w:tcPr>
          <w:p>
            <w:pPr>
              <w:spacing w:before="80" w:after="80"/>
              <w:jc w:val="center"/>
            </w:pPr>
            <w:r>
              <w:rPr>
                <w:rFonts w:ascii="Calibri" w:hAnsi="Calibri"/>
                <w:b/>
                <w:color w:val="FFFFFF"/>
                <w:sz w:val="20"/>
              </w:rPr>
              <w:t>Usage CPU (%)</w:t>
            </w:r>
          </w:p>
        </w:tc>
        <w:tc>
          <w:tcPr>
            <w:tcW w:type="dxa" w:w="1152"/>
            <w:vAlign w:val="center"/>
            <w:shd w:fill="1B365D"/>
          </w:tcPr>
          <w:p>
            <w:pPr>
              <w:spacing w:before="80" w:after="80"/>
              <w:jc w:val="center"/>
            </w:pPr>
            <w:r>
              <w:rPr>
                <w:rFonts w:ascii="Calibri" w:hAnsi="Calibri"/>
                <w:b/>
                <w:color w:val="FFFFFF"/>
                <w:sz w:val="20"/>
              </w:rPr>
              <w:t>Taille Disque</w:t>
            </w:r>
          </w:p>
        </w:tc>
      </w:tr>
      <w:tr>
        <w:tc>
          <w:tcPr>
            <w:tcW w:type="dxa" w:w="216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b/>
                <w:color w:val="1B365D"/>
                <w:sz w:val="19"/>
              </w:rPr>
              <w:t>Gradient Boosting ★</w:t>
            </w:r>
          </w:p>
        </w:tc>
        <w:tc>
          <w:tcPr>
            <w:tcW w:type="dxa" w:w="172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0.218 ms</w:t>
            </w:r>
          </w:p>
        </w:tc>
        <w:tc>
          <w:tcPr>
            <w:tcW w:type="dxa" w:w="172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4 560.9 fps</w:t>
            </w:r>
          </w:p>
        </w:tc>
        <w:tc>
          <w:tcPr>
            <w:tcW w:type="dxa" w:w="158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28.4 Mo</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14.2 %</w:t>
            </w:r>
          </w:p>
        </w:tc>
        <w:tc>
          <w:tcPr>
            <w:tcW w:type="dxa" w:w="115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30.6 KB</w:t>
            </w:r>
          </w:p>
        </w:tc>
      </w:tr>
      <w:tr>
        <w:tc>
          <w:tcPr>
            <w:tcW w:type="dxa" w:w="2160"/>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1D-CNN Compact</w:t>
            </w:r>
          </w:p>
        </w:tc>
        <w:tc>
          <w:tcPr>
            <w:tcW w:type="dxa" w:w="172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0.536 ms</w:t>
            </w:r>
          </w:p>
        </w:tc>
        <w:tc>
          <w:tcPr>
            <w:tcW w:type="dxa" w:w="172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1 848.6 fps</w:t>
            </w:r>
          </w:p>
        </w:tc>
        <w:tc>
          <w:tcPr>
            <w:tcW w:type="dxa" w:w="1584"/>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34.1 Mo</w:t>
            </w:r>
          </w:p>
        </w:tc>
        <w:tc>
          <w:tcPr>
            <w:tcW w:type="dxa" w:w="144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26.8 %</w:t>
            </w:r>
          </w:p>
        </w:tc>
        <w:tc>
          <w:tcPr>
            <w:tcW w:type="dxa" w:w="115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11.3 KB</w:t>
            </w:r>
          </w:p>
        </w:tc>
      </w:tr>
      <w:tr>
        <w:tc>
          <w:tcPr>
            <w:tcW w:type="dxa" w:w="216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Autoencodeur PyTorch</w:t>
            </w:r>
          </w:p>
        </w:tc>
        <w:tc>
          <w:tcPr>
            <w:tcW w:type="dxa" w:w="172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0.081 ms</w:t>
            </w:r>
          </w:p>
        </w:tc>
        <w:tc>
          <w:tcPr>
            <w:tcW w:type="dxa" w:w="172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12 178.4 fps</w:t>
            </w:r>
          </w:p>
        </w:tc>
        <w:tc>
          <w:tcPr>
            <w:tcW w:type="dxa" w:w="158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32.6 Mo</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11.5 %</w:t>
            </w:r>
          </w:p>
        </w:tc>
        <w:tc>
          <w:tcPr>
            <w:tcW w:type="dxa" w:w="115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4.6 KB</w:t>
            </w:r>
          </w:p>
        </w:tc>
      </w:tr>
      <w:tr>
        <w:tc>
          <w:tcPr>
            <w:tcW w:type="dxa" w:w="2160"/>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Isolation Forest</w:t>
            </w:r>
          </w:p>
        </w:tc>
        <w:tc>
          <w:tcPr>
            <w:tcW w:type="dxa" w:w="172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1.214 ms</w:t>
            </w:r>
          </w:p>
        </w:tc>
        <w:tc>
          <w:tcPr>
            <w:tcW w:type="dxa" w:w="172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822.6 fps</w:t>
            </w:r>
          </w:p>
        </w:tc>
        <w:tc>
          <w:tcPr>
            <w:tcW w:type="dxa" w:w="1584"/>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45.8 Mo</w:t>
            </w:r>
          </w:p>
        </w:tc>
        <w:tc>
          <w:tcPr>
            <w:tcW w:type="dxa" w:w="144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42.0 %</w:t>
            </w:r>
          </w:p>
        </w:tc>
        <w:tc>
          <w:tcPr>
            <w:tcW w:type="dxa" w:w="115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573.3 KB</w:t>
            </w:r>
          </w:p>
        </w:tc>
      </w:tr>
      <w:tr>
        <w:tc>
          <w:tcPr>
            <w:tcW w:type="dxa" w:w="216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Random Forest</w:t>
            </w:r>
          </w:p>
        </w:tc>
        <w:tc>
          <w:tcPr>
            <w:tcW w:type="dxa" w:w="172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1.217 ms</w:t>
            </w:r>
          </w:p>
        </w:tc>
        <w:tc>
          <w:tcPr>
            <w:tcW w:type="dxa" w:w="172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820.6 fps</w:t>
            </w:r>
          </w:p>
        </w:tc>
        <w:tc>
          <w:tcPr>
            <w:tcW w:type="dxa" w:w="158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31.2 Mo</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38.5 %</w:t>
            </w:r>
          </w:p>
        </w:tc>
        <w:tc>
          <w:tcPr>
            <w:tcW w:type="dxa" w:w="115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20.1 KB</w:t>
            </w:r>
          </w:p>
        </w:tc>
      </w:tr>
    </w:tbl>
    <w:p>
      <w:pPr>
        <w:spacing w:after="120"/>
      </w:pPr>
    </w:p>
    <w:p>
      <w:pPr>
        <w:spacing w:before="200" w:after="80"/>
        <w:jc w:val="center"/>
      </w:pPr>
      <w:r>
        <w:drawing>
          <wp:inline xmlns:a="http://schemas.openxmlformats.org/drawingml/2006/main" xmlns:pic="http://schemas.openxmlformats.org/drawingml/2006/picture">
            <wp:extent cx="5303520" cy="3535680"/>
            <wp:docPr id="7" name="Picture 7"/>
            <wp:cNvGraphicFramePr>
              <a:graphicFrameLocks noChangeAspect="1"/>
            </wp:cNvGraphicFramePr>
            <a:graphic>
              <a:graphicData uri="http://schemas.openxmlformats.org/drawingml/2006/picture">
                <pic:pic>
                  <pic:nvPicPr>
                    <pic:cNvPr id="0" name="09_edge_latency_vs_f1.png"/>
                    <pic:cNvPicPr/>
                  </pic:nvPicPr>
                  <pic:blipFill>
                    <a:blip r:embed="rId17"/>
                    <a:stretch>
                      <a:fillRect/>
                    </a:stretch>
                  </pic:blipFill>
                  <pic:spPr>
                    <a:xfrm>
                      <a:off x="0" y="0"/>
                      <a:ext cx="5303520" cy="3535680"/>
                    </a:xfrm>
                    <a:prstGeom prst="rect"/>
                  </pic:spPr>
                </pic:pic>
              </a:graphicData>
            </a:graphic>
          </wp:inline>
        </w:drawing>
      </w:r>
    </w:p>
    <w:p>
      <w:pPr>
        <w:spacing w:before="40" w:after="240"/>
        <w:jc w:val="center"/>
      </w:pPr>
      <w:r>
        <w:rPr>
          <w:rFonts w:ascii="Calibri" w:hAnsi="Calibri"/>
          <w:b/>
          <w:color w:val="1B365D"/>
          <w:sz w:val="19"/>
        </w:rPr>
        <w:t xml:space="preserve">Figure 5.1 — </w:t>
      </w:r>
      <w:r>
        <w:rPr>
          <w:rFonts w:ascii="Calibri" w:hAnsi="Calibri"/>
          <w:i/>
          <w:color w:val="64748B"/>
          <w:sz w:val="19"/>
        </w:rPr>
        <w:t>Compromis de performance Edge AI : Latence d'inférence (ms) vs F1-score sous bruit pour les 5 architectures évaluées</w:t>
      </w:r>
    </w:p>
    <w:p>
      <w:pPr>
        <w:spacing w:before="200" w:after="80"/>
        <w:jc w:val="center"/>
      </w:pPr>
      <w:r>
        <w:drawing>
          <wp:inline xmlns:a="http://schemas.openxmlformats.org/drawingml/2006/main" xmlns:pic="http://schemas.openxmlformats.org/drawingml/2006/picture">
            <wp:extent cx="5303520" cy="3535680"/>
            <wp:docPr id="8" name="Picture 8"/>
            <wp:cNvGraphicFramePr>
              <a:graphicFrameLocks noChangeAspect="1"/>
            </wp:cNvGraphicFramePr>
            <a:graphic>
              <a:graphicData uri="http://schemas.openxmlformats.org/drawingml/2006/picture">
                <pic:pic>
                  <pic:nvPicPr>
                    <pic:cNvPr id="0" name="10_edge_ram_vs_model_size.png"/>
                    <pic:cNvPicPr/>
                  </pic:nvPicPr>
                  <pic:blipFill>
                    <a:blip r:embed="rId18"/>
                    <a:stretch>
                      <a:fillRect/>
                    </a:stretch>
                  </pic:blipFill>
                  <pic:spPr>
                    <a:xfrm>
                      <a:off x="0" y="0"/>
                      <a:ext cx="5303520" cy="3535680"/>
                    </a:xfrm>
                    <a:prstGeom prst="rect"/>
                  </pic:spPr>
                </pic:pic>
              </a:graphicData>
            </a:graphic>
          </wp:inline>
        </w:drawing>
      </w:r>
    </w:p>
    <w:p>
      <w:pPr>
        <w:spacing w:before="40" w:after="240"/>
        <w:jc w:val="center"/>
      </w:pPr>
      <w:r>
        <w:rPr>
          <w:rFonts w:ascii="Calibri" w:hAnsi="Calibri"/>
          <w:b/>
          <w:color w:val="1B365D"/>
          <w:sz w:val="19"/>
        </w:rPr>
        <w:t xml:space="preserve">Figure 5.2 — </w:t>
      </w:r>
      <w:r>
        <w:rPr>
          <w:rFonts w:ascii="Calibri" w:hAnsi="Calibri"/>
          <w:i/>
          <w:color w:val="64748B"/>
          <w:sz w:val="19"/>
        </w:rPr>
        <w:t>Consommation de ressources matérielles sur Raspberry Pi : Empreinte RAM opérationnelle vs Taille physique des fichiers modèles</w:t>
      </w:r>
    </w:p>
    <w:p>
      <w:pPr>
        <w:keepNext/>
        <w:spacing w:before="240" w:after="80"/>
      </w:pPr>
      <w:r>
        <w:rPr>
          <w:rFonts w:ascii="Calibri" w:hAnsi="Calibri"/>
          <w:b/>
          <w:color w:val="2B547E"/>
          <w:sz w:val="27"/>
        </w:rPr>
        <w:t>5.3 Matrice de Décision Multicritères pour le Déploiement Industriel</w:t>
      </w:r>
    </w:p>
    <w:p>
      <w:pPr>
        <w:spacing w:line="276" w:lineRule="auto" w:after="100"/>
        <w:jc w:val="both"/>
      </w:pPr>
      <w:r>
        <w:rPr>
          <w:rFonts w:ascii="Calibri" w:hAnsi="Calibri"/>
          <w:color w:val="222222"/>
          <w:sz w:val="22"/>
        </w:rPr>
        <w:t>Pour objectiver le choix final dans une perspective d'ingénierie d'industrialisation, nous avons établi une grille de décision pondérée selon 5 critères déterminants : Précision F1 nominale (poids 25 %), Robustesse au bruit (poids 25 %), Latence d'inférence (poids 20 %), Compacité RAM/Disque (poids 15 %) et Facilité d'intégration logicielle (poids 15 %) :</w:t>
      </w:r>
    </w:p>
    <w:p>
      <w:pPr>
        <w:keepNext/>
        <w:spacing w:before="200" w:after="60"/>
        <w:jc w:val="left"/>
      </w:pPr>
      <w:r>
        <w:rPr>
          <w:rFonts w:ascii="Calibri" w:hAnsi="Calibri"/>
          <w:b/>
          <w:color w:val="1B365D"/>
          <w:sz w:val="20"/>
        </w:rPr>
        <w:t xml:space="preserve">Tableau 10 — </w:t>
      </w:r>
      <w:r>
        <w:rPr>
          <w:rFonts w:ascii="Calibri" w:hAnsi="Calibri"/>
          <w:i/>
          <w:color w:val="222222"/>
          <w:sz w:val="20"/>
        </w:rPr>
        <w:t>Matrice de décision multicritères pondérée pour la sélection de la technologie Edge AI industrielle</w:t>
      </w:r>
    </w:p>
    <w:tbl>
      <w:tblPr>
        <w:tblW w:type="auto" w:w="0"/>
        <w:jc w:val="center"/>
        <w:tblLayout w:type="fixed"/>
        <w:tblLook w:firstColumn="1" w:firstRow="1" w:lastColumn="0" w:lastRow="0" w:noHBand="0" w:noVBand="1" w:val="04A0"/>
      </w:tblPr>
      <w:tblGrid>
        <w:gridCol w:w="1298"/>
        <w:gridCol w:w="1298"/>
        <w:gridCol w:w="1298"/>
        <w:gridCol w:w="1298"/>
        <w:gridCol w:w="1298"/>
        <w:gridCol w:w="1298"/>
        <w:gridCol w:w="1298"/>
      </w:tblGrid>
      <w:tr>
        <w:trPr>
          <w:tblHeader/>
        </w:trPr>
        <w:tc>
          <w:tcPr>
            <w:tcW w:type="dxa" w:w="2160"/>
            <w:vAlign w:val="center"/>
            <w:shd w:fill="1B365D"/>
          </w:tcPr>
          <w:p>
            <w:pPr>
              <w:spacing w:before="80" w:after="80"/>
              <w:jc w:val="center"/>
            </w:pPr>
            <w:r>
              <w:rPr>
                <w:rFonts w:ascii="Calibri" w:hAnsi="Calibri"/>
                <w:b/>
                <w:color w:val="FFFFFF"/>
                <w:sz w:val="20"/>
              </w:rPr>
              <w:t>Architecture Modèle</w:t>
            </w:r>
          </w:p>
        </w:tc>
        <w:tc>
          <w:tcPr>
            <w:tcW w:type="dxa" w:w="1296"/>
            <w:vAlign w:val="center"/>
            <w:shd w:fill="1B365D"/>
          </w:tcPr>
          <w:p>
            <w:pPr>
              <w:spacing w:before="80" w:after="80"/>
              <w:jc w:val="center"/>
            </w:pPr>
            <w:r>
              <w:rPr>
                <w:rFonts w:ascii="Calibri" w:hAnsi="Calibri"/>
                <w:b/>
                <w:color w:val="FFFFFF"/>
                <w:sz w:val="20"/>
              </w:rPr>
              <w:t>F1 Nominal (25%)</w:t>
            </w:r>
          </w:p>
        </w:tc>
        <w:tc>
          <w:tcPr>
            <w:tcW w:type="dxa" w:w="1296"/>
            <w:vAlign w:val="center"/>
            <w:shd w:fill="1B365D"/>
          </w:tcPr>
          <w:p>
            <w:pPr>
              <w:spacing w:before="80" w:after="80"/>
              <w:jc w:val="center"/>
            </w:pPr>
            <w:r>
              <w:rPr>
                <w:rFonts w:ascii="Calibri" w:hAnsi="Calibri"/>
                <w:b/>
                <w:color w:val="FFFFFF"/>
                <w:sz w:val="20"/>
              </w:rPr>
              <w:t>Robustesse (25%)</w:t>
            </w:r>
          </w:p>
        </w:tc>
        <w:tc>
          <w:tcPr>
            <w:tcW w:type="dxa" w:w="1296"/>
            <w:vAlign w:val="center"/>
            <w:shd w:fill="1B365D"/>
          </w:tcPr>
          <w:p>
            <w:pPr>
              <w:spacing w:before="80" w:after="80"/>
              <w:jc w:val="center"/>
            </w:pPr>
            <w:r>
              <w:rPr>
                <w:rFonts w:ascii="Calibri" w:hAnsi="Calibri"/>
                <w:b/>
                <w:color w:val="FFFFFF"/>
                <w:sz w:val="20"/>
              </w:rPr>
              <w:t>Latence (20%)</w:t>
            </w:r>
          </w:p>
        </w:tc>
        <w:tc>
          <w:tcPr>
            <w:tcW w:type="dxa" w:w="1296"/>
            <w:vAlign w:val="center"/>
            <w:shd w:fill="1B365D"/>
          </w:tcPr>
          <w:p>
            <w:pPr>
              <w:spacing w:before="80" w:after="80"/>
              <w:jc w:val="center"/>
            </w:pPr>
            <w:r>
              <w:rPr>
                <w:rFonts w:ascii="Calibri" w:hAnsi="Calibri"/>
                <w:b/>
                <w:color w:val="FFFFFF"/>
                <w:sz w:val="20"/>
              </w:rPr>
              <w:t>Compacité (15%)</w:t>
            </w:r>
          </w:p>
        </w:tc>
        <w:tc>
          <w:tcPr>
            <w:tcW w:type="dxa" w:w="1296"/>
            <w:vAlign w:val="center"/>
            <w:shd w:fill="1B365D"/>
          </w:tcPr>
          <w:p>
            <w:pPr>
              <w:spacing w:before="80" w:after="80"/>
              <w:jc w:val="center"/>
            </w:pPr>
            <w:r>
              <w:rPr>
                <w:rFonts w:ascii="Calibri" w:hAnsi="Calibri"/>
                <w:b/>
                <w:color w:val="FFFFFF"/>
                <w:sz w:val="20"/>
              </w:rPr>
              <w:t>Intégration (15%)</w:t>
            </w:r>
          </w:p>
        </w:tc>
        <w:tc>
          <w:tcPr>
            <w:tcW w:type="dxa" w:w="1728"/>
            <w:vAlign w:val="center"/>
            <w:shd w:fill="1B365D"/>
          </w:tcPr>
          <w:p>
            <w:pPr>
              <w:spacing w:before="80" w:after="80"/>
              <w:jc w:val="center"/>
            </w:pPr>
            <w:r>
              <w:rPr>
                <w:rFonts w:ascii="Calibri" w:hAnsi="Calibri"/>
                <w:b/>
                <w:color w:val="FFFFFF"/>
                <w:sz w:val="20"/>
              </w:rPr>
              <w:t>Note Globale / 100</w:t>
            </w:r>
          </w:p>
        </w:tc>
      </w:tr>
      <w:tr>
        <w:tc>
          <w:tcPr>
            <w:tcW w:type="dxa" w:w="216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b/>
                <w:color w:val="1B365D"/>
                <w:sz w:val="19"/>
              </w:rPr>
              <w:t>Gradient Boosting ★</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25.0 / 25</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24.5 / 25</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19.5 / 20</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14.5 / 15</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14.5 / 15</w:t>
            </w:r>
          </w:p>
        </w:tc>
        <w:tc>
          <w:tcPr>
            <w:tcW w:type="dxa" w:w="172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98.0 / 100 (Choix N°1)</w:t>
            </w:r>
          </w:p>
        </w:tc>
      </w:tr>
      <w:tr>
        <w:tc>
          <w:tcPr>
            <w:tcW w:type="dxa" w:w="2160"/>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1D-CNN Compact</w:t>
            </w:r>
          </w:p>
        </w:tc>
        <w:tc>
          <w:tcPr>
            <w:tcW w:type="dxa" w:w="1296"/>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25.0 / 25</w:t>
            </w:r>
          </w:p>
        </w:tc>
        <w:tc>
          <w:tcPr>
            <w:tcW w:type="dxa" w:w="1296"/>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24.0 / 25</w:t>
            </w:r>
          </w:p>
        </w:tc>
        <w:tc>
          <w:tcPr>
            <w:tcW w:type="dxa" w:w="1296"/>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18.0 / 20</w:t>
            </w:r>
          </w:p>
        </w:tc>
        <w:tc>
          <w:tcPr>
            <w:tcW w:type="dxa" w:w="1296"/>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15.0 / 15</w:t>
            </w:r>
          </w:p>
        </w:tc>
        <w:tc>
          <w:tcPr>
            <w:tcW w:type="dxa" w:w="1296"/>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13.0 / 15</w:t>
            </w:r>
          </w:p>
        </w:tc>
        <w:tc>
          <w:tcPr>
            <w:tcW w:type="dxa" w:w="172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95.0 / 100 (Choix N°2)</w:t>
            </w:r>
          </w:p>
        </w:tc>
      </w:tr>
      <w:tr>
        <w:tc>
          <w:tcPr>
            <w:tcW w:type="dxa" w:w="216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Random Forest</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25.0 / 25</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23.5 / 25</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15.0 / 20</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14.0 / 15</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14.5 / 15</w:t>
            </w:r>
          </w:p>
        </w:tc>
        <w:tc>
          <w:tcPr>
            <w:tcW w:type="dxa" w:w="172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92.0 / 100</w:t>
            </w:r>
          </w:p>
        </w:tc>
      </w:tr>
      <w:tr>
        <w:tc>
          <w:tcPr>
            <w:tcW w:type="dxa" w:w="2160"/>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Isolation Forest</w:t>
            </w:r>
          </w:p>
        </w:tc>
        <w:tc>
          <w:tcPr>
            <w:tcW w:type="dxa" w:w="1296"/>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25.0 / 25</w:t>
            </w:r>
          </w:p>
        </w:tc>
        <w:tc>
          <w:tcPr>
            <w:tcW w:type="dxa" w:w="1296"/>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21.0 / 25</w:t>
            </w:r>
          </w:p>
        </w:tc>
        <w:tc>
          <w:tcPr>
            <w:tcW w:type="dxa" w:w="1296"/>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15.0 / 20</w:t>
            </w:r>
          </w:p>
        </w:tc>
        <w:tc>
          <w:tcPr>
            <w:tcW w:type="dxa" w:w="1296"/>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11.0 / 15</w:t>
            </w:r>
          </w:p>
        </w:tc>
        <w:tc>
          <w:tcPr>
            <w:tcW w:type="dxa" w:w="1296"/>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14.0 / 15</w:t>
            </w:r>
          </w:p>
        </w:tc>
        <w:tc>
          <w:tcPr>
            <w:tcW w:type="dxa" w:w="172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86.0 / 100</w:t>
            </w:r>
          </w:p>
        </w:tc>
      </w:tr>
      <w:tr>
        <w:tc>
          <w:tcPr>
            <w:tcW w:type="dxa" w:w="216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Autoencodeur</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2.5 / 25</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2.0 / 25</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20.0 / 20</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15.0 / 15</w:t>
            </w:r>
          </w:p>
        </w:tc>
        <w:tc>
          <w:tcPr>
            <w:tcW w:type="dxa" w:w="1296"/>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13.0 / 15</w:t>
            </w:r>
          </w:p>
        </w:tc>
        <w:tc>
          <w:tcPr>
            <w:tcW w:type="dxa" w:w="172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52.5 / 100</w:t>
            </w:r>
          </w:p>
        </w:tc>
      </w:tr>
    </w:tbl>
    <w:p>
      <w:pPr>
        <w:spacing w:after="120"/>
      </w:pPr>
    </w:p>
    <w:tbl>
      <w:tblPr>
        <w:tblW w:type="auto" w:w="0"/>
        <w:jc w:val="center"/>
        <w:tblLayout w:type="fixed"/>
        <w:tblLook w:firstColumn="1" w:firstRow="1" w:lastColumn="0" w:lastRow="0" w:noHBand="0" w:noVBand="1" w:val="04A0"/>
      </w:tblPr>
      <w:tblGrid>
        <w:gridCol w:w="9087"/>
      </w:tblGrid>
      <w:tr>
        <w:tc>
          <w:tcPr>
            <w:tcW w:type="dxa" w:w="9072"/>
            <w:shd w:fill="F0F4F8"/>
            <w:tcBorders>
              <w:top w:val="none"/>
              <w:left w:val="single" w:sz="32" w:space="0" w:color="1B365D"/>
              <w:bottom w:val="none"/>
              <w:right w:val="none"/>
            </w:tcBorders>
            <w:tcMar>
              <w:top w:w="140" w:type="dxa"/>
              <w:left w:w="200" w:type="dxa"/>
              <w:bottom w:w="140" w:type="dxa"/>
              <w:right w:w="200" w:type="dxa"/>
            </w:tcMar>
          </w:tcPr>
          <w:p>
            <w:pPr>
              <w:spacing w:before="80" w:after="40"/>
              <w:jc w:val="both"/>
            </w:pPr>
            <w:r>
              <w:rPr>
                <w:rFonts w:ascii="Calibri" w:hAnsi="Calibri"/>
                <w:b/>
                <w:color w:val="1B365D"/>
                <w:sz w:val="21"/>
              </w:rPr>
              <w:t>[NORME &amp; STANDARD INDUSTRIEL] Validation Industrielle de la Latence Réelle</w:t>
              <w:br/>
            </w:r>
            <w:r>
              <w:rPr>
                <w:rFonts w:ascii="Calibri" w:hAnsi="Calibri"/>
                <w:i w:val="0"/>
                <w:color w:val="222222"/>
                <w:sz w:val="20"/>
              </w:rPr>
              <w:t>Avec une latence d'inférence de seulement **0.218 ms**, le Gradient Boosting s'exécute **391 fois plus vite** que la durée temporelle d'une fenêtre de signal (85.33 ms). Cela signifie que le nano-calculateur Raspberry Pi 4 ne mobilise que **0.25 % de son temps CPU** pour la surveillance prédictive continue, laissant 99.75 % des ressources disponibles pour la communication IIoT, l'agent RAG et la gestion de la sécurité.</w:t>
            </w:r>
          </w:p>
        </w:tc>
      </w:tr>
    </w:tbl>
    <w:p>
      <w:pPr>
        <w:spacing w:after="80"/>
      </w:pPr>
    </w:p>
    <w:p>
      <w:r>
        <w:br w:type="page"/>
      </w:r>
    </w:p>
    <w:p>
      <w:pPr>
        <w:keepNext/>
        <w:spacing w:before="280" w:after="160"/>
      </w:pPr>
      <w:r>
        <w:rPr>
          <w:rFonts w:ascii="Calibri" w:hAnsi="Calibri"/>
          <w:b/>
          <w:color w:val="1B365D"/>
          <w:sz w:val="34"/>
        </w:rPr>
        <w:t>Chapitre 6 : Module d'Explicabilité Industrielle (XAI)</w:t>
      </w:r>
    </w:p>
    <w:p>
      <w:pPr>
        <w:keepNext/>
        <w:spacing w:before="240" w:after="80"/>
      </w:pPr>
      <w:r>
        <w:rPr>
          <w:rFonts w:ascii="Calibri" w:hAnsi="Calibri"/>
          <w:b/>
          <w:color w:val="2B547E"/>
          <w:sz w:val="27"/>
        </w:rPr>
        <w:t>6.1 Problématique de la Boîte Noire et Acceptabilité par les Opérateurs Usine</w:t>
      </w:r>
    </w:p>
    <w:p>
      <w:pPr>
        <w:spacing w:line="276" w:lineRule="auto" w:after="100"/>
        <w:jc w:val="both"/>
      </w:pPr>
      <w:r>
        <w:rPr>
          <w:rFonts w:ascii="Calibri" w:hAnsi="Calibri"/>
          <w:color w:val="222222"/>
          <w:sz w:val="22"/>
        </w:rPr>
        <w:t>Dans l'environnement hautement exigeant d'une usine de production, l'adoption d'un système prédictif ne dépend pas uniquement de ses performances statistiques, mais avant tout du degré de confiance qu'il inspire aux techniciens et ingénieurs de maintenance. Une alerte automatisée proclamant « Anomalie détectée avec 99.5 % de probabilité » sans justification tangible est vouée au rejet par les opérateurs d'atelier : interrompre une chaîne d'assemblage ou démonter un moteur électrique de plusieurs tonnes représente un coût considérable qui ne peut être engagé sur la foi d'une décision algorithmique opaque. L'Explicabilité de l'IA (XAI) constitue donc la clé de voûte de l'acceptabilité industrielle.</w:t>
      </w:r>
    </w:p>
    <w:p>
      <w:pPr>
        <w:keepNext/>
        <w:spacing w:before="240" w:after="80"/>
      </w:pPr>
      <w:r>
        <w:rPr>
          <w:rFonts w:ascii="Calibri" w:hAnsi="Calibri"/>
          <w:b/>
          <w:color w:val="2B547E"/>
          <w:sz w:val="27"/>
        </w:rPr>
        <w:t>6.2 Analyse de l'Importance Globale et Locale des Variables Vibratoires</w:t>
      </w:r>
    </w:p>
    <w:p>
      <w:pPr>
        <w:spacing w:line="276" w:lineRule="auto" w:after="100"/>
        <w:jc w:val="both"/>
      </w:pPr>
      <w:r>
        <w:rPr>
          <w:rFonts w:ascii="Calibri" w:hAnsi="Calibri"/>
          <w:b/>
          <w:color w:val="1B365D"/>
          <w:sz w:val="22"/>
        </w:rPr>
        <w:t xml:space="preserve">Double Niveau d'Interprétabilité : </w:t>
      </w:r>
      <w:r>
        <w:rPr>
          <w:rFonts w:ascii="Calibri" w:hAnsi="Calibri"/>
          <w:color w:val="222222"/>
          <w:sz w:val="22"/>
        </w:rPr>
        <w:t>Pour apporter une totale transparence, le module `src/explainability.py` déploie une double stratégie d'explicabilité :</w:t>
      </w:r>
    </w:p>
    <w:p>
      <w:pPr>
        <w:pStyle w:val="ListBullet"/>
        <w:spacing w:line="276" w:lineRule="auto" w:after="60"/>
        <w:jc w:val="both"/>
      </w:pPr>
      <w:r>
        <w:rPr>
          <w:rFonts w:ascii="Calibri" w:hAnsi="Calibri"/>
          <w:b/>
          <w:color w:val="2B547E"/>
          <w:sz w:val="22"/>
        </w:rPr>
        <w:t xml:space="preserve">1. Explicabilité Globale (Macro) : </w:t>
      </w:r>
      <w:r>
        <w:rPr>
          <w:rFonts w:ascii="Calibri" w:hAnsi="Calibri"/>
          <w:color w:val="222222"/>
          <w:sz w:val="22"/>
        </w:rPr>
        <w:t>Calcul de l'importance intrinsèque des variables par réduction d'impureté de Gini dans les arbres du Gradient Boosting, révélant la hiérarchie globale des grandeurs physiques déterminantes pour la détection.</w:t>
      </w:r>
    </w:p>
    <w:p>
      <w:pPr>
        <w:pStyle w:val="ListBullet"/>
        <w:spacing w:line="276" w:lineRule="auto" w:after="60"/>
        <w:jc w:val="both"/>
      </w:pPr>
      <w:r>
        <w:rPr>
          <w:rFonts w:ascii="Calibri" w:hAnsi="Calibri"/>
          <w:b/>
          <w:color w:val="2B547E"/>
          <w:sz w:val="22"/>
        </w:rPr>
        <w:t xml:space="preserve">2. Explicabilité Locale (Micro) : </w:t>
      </w:r>
      <w:r>
        <w:rPr>
          <w:rFonts w:ascii="Calibri" w:hAnsi="Calibri"/>
          <w:color w:val="222222"/>
          <w:sz w:val="22"/>
        </w:rPr>
        <w:t>Attribution locale des contributions pour chaque échantillon analysé, mettant en évidence les caractéristiques physiques exactes ayant fait basculer la décision du modèle pour la fenêtre courante.</w:t>
      </w:r>
    </w:p>
    <w:p>
      <w:pPr>
        <w:spacing w:before="200" w:after="80"/>
        <w:jc w:val="center"/>
      </w:pPr>
      <w:r>
        <w:drawing>
          <wp:inline xmlns:a="http://schemas.openxmlformats.org/drawingml/2006/main" xmlns:pic="http://schemas.openxmlformats.org/drawingml/2006/picture">
            <wp:extent cx="5303520" cy="3182112"/>
            <wp:docPr id="9" name="Picture 9"/>
            <wp:cNvGraphicFramePr>
              <a:graphicFrameLocks noChangeAspect="1"/>
            </wp:cNvGraphicFramePr>
            <a:graphic>
              <a:graphicData uri="http://schemas.openxmlformats.org/drawingml/2006/picture">
                <pic:pic>
                  <pic:nvPicPr>
                    <pic:cNvPr id="0" name="06_xai_feature_importance.png"/>
                    <pic:cNvPicPr/>
                  </pic:nvPicPr>
                  <pic:blipFill>
                    <a:blip r:embed="rId19"/>
                    <a:stretch>
                      <a:fillRect/>
                    </a:stretch>
                  </pic:blipFill>
                  <pic:spPr>
                    <a:xfrm>
                      <a:off x="0" y="0"/>
                      <a:ext cx="5303520" cy="3182112"/>
                    </a:xfrm>
                    <a:prstGeom prst="rect"/>
                  </pic:spPr>
                </pic:pic>
              </a:graphicData>
            </a:graphic>
          </wp:inline>
        </w:drawing>
      </w:r>
    </w:p>
    <w:p>
      <w:pPr>
        <w:spacing w:before="40" w:after="240"/>
        <w:jc w:val="center"/>
      </w:pPr>
      <w:r>
        <w:rPr>
          <w:rFonts w:ascii="Calibri" w:hAnsi="Calibri"/>
          <w:b/>
          <w:color w:val="1B365D"/>
          <w:sz w:val="19"/>
        </w:rPr>
        <w:t xml:space="preserve">Figure 6.1 — </w:t>
      </w:r>
      <w:r>
        <w:rPr>
          <w:rFonts w:ascii="Calibri" w:hAnsi="Calibri"/>
          <w:i/>
          <w:color w:val="64748B"/>
          <w:sz w:val="19"/>
        </w:rPr>
        <w:t>Hiérarchie globale d'importance des 16 variables vibratoires dans le modèle Gradient Boosting (rôle dominant du Kurtosis et de l'Énergie spectrale)</w:t>
      </w:r>
    </w:p>
    <w:p>
      <w:pPr>
        <w:keepNext/>
        <w:spacing w:before="240" w:after="80"/>
      </w:pPr>
      <w:r>
        <w:rPr>
          <w:rFonts w:ascii="Calibri" w:hAnsi="Calibri"/>
          <w:b/>
          <w:color w:val="2B547E"/>
          <w:sz w:val="27"/>
        </w:rPr>
        <w:t>6.3 Approche Différentielle par Z-Scores par rapport à l'État Sain de Référence</w:t>
      </w:r>
    </w:p>
    <w:p>
      <w:pPr>
        <w:spacing w:line="276" w:lineRule="auto" w:after="100"/>
        <w:jc w:val="both"/>
      </w:pPr>
      <w:r>
        <w:rPr>
          <w:rFonts w:ascii="Calibri" w:hAnsi="Calibri"/>
          <w:color w:val="222222"/>
          <w:sz w:val="22"/>
        </w:rPr>
        <w:t>Afin de fournir une explication immédiatement compréhensible par un technicien mécanicien non spécialiste en IA, nous avons implémenté une mesure différentielle par Z-score statistique. Pour chaque caractéristique physique $j$, le Z-score mesure l'écart normalisé entre la valeur observée $f_j$ et la distribution de référence de l'état sain :</w:t>
      </w:r>
    </w:p>
    <w:p>
      <w:pPr>
        <w:spacing w:line="276" w:lineRule="auto" w:after="100"/>
        <w:jc w:val="both"/>
      </w:pPr>
      <w:r>
        <w:rPr>
          <w:rFonts w:ascii="Calibri" w:hAnsi="Calibri"/>
          <w:b/>
          <w:color w:val="1B365D"/>
          <w:sz w:val="22"/>
        </w:rPr>
        <w:t xml:space="preserve">Formule du Z-Score Différentiel : </w:t>
      </w:r>
      <w:r>
        <w:rPr>
          <w:rFonts w:ascii="Calibri" w:hAnsi="Calibri"/>
          <w:color w:val="222222"/>
          <w:sz w:val="22"/>
        </w:rPr>
        <w:t>$$Z_j = \frac{f_j - \mu_{sain, j}}{\sigma_{sain, j}}$$</w:t>
      </w:r>
    </w:p>
    <w:p>
      <w:pPr>
        <w:spacing w:line="276" w:lineRule="auto" w:after="100"/>
        <w:jc w:val="both"/>
      </w:pPr>
      <w:r>
        <w:rPr>
          <w:rFonts w:ascii="Calibri" w:hAnsi="Calibri"/>
          <w:color w:val="222222"/>
          <w:sz w:val="22"/>
        </w:rPr>
        <w:t>Un Z-score compris entre -2.0 et +2.0 correspond aux fluctuations statistiques normales d'un équipement en bon état. En revanche, un Z-score dépassant +3.0 ou +4.0 signale une dérive physique majeure et anormale. Le Tableau 11 consigne les Z-scores moyens observés selon les différents modes de défaillance.</w:t>
      </w:r>
    </w:p>
    <w:p>
      <w:pPr>
        <w:keepNext/>
        <w:spacing w:before="200" w:after="60"/>
        <w:jc w:val="left"/>
      </w:pPr>
      <w:r>
        <w:rPr>
          <w:rFonts w:ascii="Calibri" w:hAnsi="Calibri"/>
          <w:b/>
          <w:color w:val="1B365D"/>
          <w:sz w:val="20"/>
        </w:rPr>
        <w:t xml:space="preserve">Tableau 11 — </w:t>
      </w:r>
      <w:r>
        <w:rPr>
          <w:rFonts w:ascii="Calibri" w:hAnsi="Calibri"/>
          <w:i/>
          <w:color w:val="222222"/>
          <w:sz w:val="20"/>
        </w:rPr>
        <w:t>Analyse comparative de la signature physique différentielle (Z-Scores) selon la nature du défaut de roulement</w:t>
      </w:r>
    </w:p>
    <w:tbl>
      <w:tblPr>
        <w:tblW w:type="auto" w:w="0"/>
        <w:jc w:val="center"/>
        <w:tblLayout w:type="fixed"/>
        <w:tblLook w:firstColumn="1" w:firstRow="1" w:lastColumn="0" w:lastRow="0" w:noHBand="0" w:noVBand="1" w:val="04A0"/>
      </w:tblPr>
      <w:tblGrid>
        <w:gridCol w:w="1514"/>
        <w:gridCol w:w="1514"/>
        <w:gridCol w:w="1514"/>
        <w:gridCol w:w="1514"/>
        <w:gridCol w:w="1514"/>
        <w:gridCol w:w="1514"/>
      </w:tblGrid>
      <w:tr>
        <w:trPr>
          <w:tblHeader/>
        </w:trPr>
        <w:tc>
          <w:tcPr>
            <w:tcW w:type="dxa" w:w="2592"/>
            <w:vAlign w:val="center"/>
            <w:shd w:fill="1B365D"/>
          </w:tcPr>
          <w:p>
            <w:pPr>
              <w:spacing w:before="80" w:after="80"/>
              <w:jc w:val="center"/>
            </w:pPr>
            <w:r>
              <w:rPr>
                <w:rFonts w:ascii="Calibri" w:hAnsi="Calibri"/>
                <w:b/>
                <w:color w:val="FFFFFF"/>
                <w:sz w:val="20"/>
              </w:rPr>
              <w:t>Mode de Défaillance</w:t>
            </w:r>
          </w:p>
        </w:tc>
        <w:tc>
          <w:tcPr>
            <w:tcW w:type="dxa" w:w="1584"/>
            <w:vAlign w:val="center"/>
            <w:shd w:fill="1B365D"/>
          </w:tcPr>
          <w:p>
            <w:pPr>
              <w:spacing w:before="80" w:after="80"/>
              <w:jc w:val="center"/>
            </w:pPr>
            <w:r>
              <w:rPr>
                <w:rFonts w:ascii="Calibri" w:hAnsi="Calibri"/>
                <w:b/>
                <w:color w:val="FFFFFF"/>
                <w:sz w:val="20"/>
              </w:rPr>
              <w:t>Kurtosis (Z-Score)</w:t>
            </w:r>
          </w:p>
        </w:tc>
        <w:tc>
          <w:tcPr>
            <w:tcW w:type="dxa" w:w="1584"/>
            <w:vAlign w:val="center"/>
            <w:shd w:fill="1B365D"/>
          </w:tcPr>
          <w:p>
            <w:pPr>
              <w:spacing w:before="80" w:after="80"/>
              <w:jc w:val="center"/>
            </w:pPr>
            <w:r>
              <w:rPr>
                <w:rFonts w:ascii="Calibri" w:hAnsi="Calibri"/>
                <w:b/>
                <w:color w:val="FFFFFF"/>
                <w:sz w:val="20"/>
              </w:rPr>
              <w:t>RMS (Z-Score)</w:t>
            </w:r>
          </w:p>
        </w:tc>
        <w:tc>
          <w:tcPr>
            <w:tcW w:type="dxa" w:w="1584"/>
            <w:vAlign w:val="center"/>
            <w:shd w:fill="1B365D"/>
          </w:tcPr>
          <w:p>
            <w:pPr>
              <w:spacing w:before="80" w:after="80"/>
              <w:jc w:val="center"/>
            </w:pPr>
            <w:r>
              <w:rPr>
                <w:rFonts w:ascii="Calibri" w:hAnsi="Calibri"/>
                <w:b/>
                <w:color w:val="FFFFFF"/>
                <w:sz w:val="20"/>
              </w:rPr>
              <w:t>Facteur Crête (Z)</w:t>
            </w:r>
          </w:p>
        </w:tc>
        <w:tc>
          <w:tcPr>
            <w:tcW w:type="dxa" w:w="1584"/>
            <w:vAlign w:val="center"/>
            <w:shd w:fill="1B365D"/>
          </w:tcPr>
          <w:p>
            <w:pPr>
              <w:spacing w:before="80" w:after="80"/>
              <w:jc w:val="center"/>
            </w:pPr>
            <w:r>
              <w:rPr>
                <w:rFonts w:ascii="Calibri" w:hAnsi="Calibri"/>
                <w:b/>
                <w:color w:val="FFFFFF"/>
                <w:sz w:val="20"/>
              </w:rPr>
              <w:t>Énergie FFT (Z)</w:t>
            </w:r>
          </w:p>
        </w:tc>
        <w:tc>
          <w:tcPr>
            <w:tcW w:type="dxa" w:w="2592"/>
            <w:vAlign w:val="center"/>
            <w:shd w:fill="1B365D"/>
          </w:tcPr>
          <w:p>
            <w:pPr>
              <w:spacing w:before="80" w:after="80"/>
              <w:jc w:val="center"/>
            </w:pPr>
            <w:r>
              <w:rPr>
                <w:rFonts w:ascii="Calibri" w:hAnsi="Calibri"/>
                <w:b/>
                <w:color w:val="FFFFFF"/>
                <w:sz w:val="20"/>
              </w:rPr>
              <w:t>Caractéristique Majeure</w:t>
            </w:r>
          </w:p>
        </w:tc>
      </w:tr>
      <w:tr>
        <w:tc>
          <w:tcPr>
            <w:tcW w:type="dxa" w:w="2592"/>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Fonctionnement Sain (Normal)</w:t>
            </w:r>
          </w:p>
        </w:tc>
        <w:tc>
          <w:tcPr>
            <w:tcW w:type="dxa" w:w="158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+0.12 σ</w:t>
            </w:r>
          </w:p>
        </w:tc>
        <w:tc>
          <w:tcPr>
            <w:tcW w:type="dxa" w:w="158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+0.08 σ</w:t>
            </w:r>
          </w:p>
        </w:tc>
        <w:tc>
          <w:tcPr>
            <w:tcW w:type="dxa" w:w="158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+0.15 σ</w:t>
            </w:r>
          </w:p>
        </w:tc>
        <w:tc>
          <w:tcPr>
            <w:tcW w:type="dxa" w:w="158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+0.05 σ</w:t>
            </w:r>
          </w:p>
        </w:tc>
        <w:tc>
          <w:tcPr>
            <w:tcW w:type="dxa" w:w="259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Toutes grandeurs stables dans l'intervalle [-1σ, +1σ].</w:t>
            </w:r>
          </w:p>
        </w:tc>
      </w:tr>
      <w:tr>
        <w:tc>
          <w:tcPr>
            <w:tcW w:type="dxa" w:w="2592"/>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Défaut Bague Interne (BPFI)</w:t>
            </w:r>
          </w:p>
        </w:tc>
        <w:tc>
          <w:tcPr>
            <w:tcW w:type="dxa" w:w="1584"/>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b/>
                <w:color w:val="1B365D"/>
                <w:sz w:val="19"/>
              </w:rPr>
              <w:t>+4.85 σ ★</w:t>
            </w:r>
          </w:p>
        </w:tc>
        <w:tc>
          <w:tcPr>
            <w:tcW w:type="dxa" w:w="1584"/>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+2.45 σ</w:t>
            </w:r>
          </w:p>
        </w:tc>
        <w:tc>
          <w:tcPr>
            <w:tcW w:type="dxa" w:w="1584"/>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+3.78 σ</w:t>
            </w:r>
          </w:p>
        </w:tc>
        <w:tc>
          <w:tcPr>
            <w:tcW w:type="dxa" w:w="1584"/>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+3.12 σ</w:t>
            </w:r>
          </w:p>
        </w:tc>
        <w:tc>
          <w:tcPr>
            <w:tcW w:type="dxa" w:w="259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Explosion du Kurtosis (chocs violents lors du passage des billes).</w:t>
            </w:r>
          </w:p>
        </w:tc>
      </w:tr>
      <w:tr>
        <w:tc>
          <w:tcPr>
            <w:tcW w:type="dxa" w:w="2592"/>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Défaut Bague Externe (BPFO)</w:t>
            </w:r>
          </w:p>
        </w:tc>
        <w:tc>
          <w:tcPr>
            <w:tcW w:type="dxa" w:w="158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+2.85 σ</w:t>
            </w:r>
          </w:p>
        </w:tc>
        <w:tc>
          <w:tcPr>
            <w:tcW w:type="dxa" w:w="158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b/>
                <w:color w:val="1B365D"/>
                <w:sz w:val="19"/>
              </w:rPr>
              <w:t>+3.95 σ ★</w:t>
            </w:r>
          </w:p>
        </w:tc>
        <w:tc>
          <w:tcPr>
            <w:tcW w:type="dxa" w:w="158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+3.10 σ</w:t>
            </w:r>
          </w:p>
        </w:tc>
        <w:tc>
          <w:tcPr>
            <w:tcW w:type="dxa" w:w="158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b/>
                <w:color w:val="1B365D"/>
                <w:sz w:val="19"/>
              </w:rPr>
              <w:t>+4.20 σ ★</w:t>
            </w:r>
          </w:p>
        </w:tc>
        <w:tc>
          <w:tcPr>
            <w:tcW w:type="dxa" w:w="259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Forte hausse d'énergie globale et pic net à BPFO = 107.4 Hz.</w:t>
            </w:r>
          </w:p>
        </w:tc>
      </w:tr>
      <w:tr>
        <w:tc>
          <w:tcPr>
            <w:tcW w:type="dxa" w:w="2592"/>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Défaut d'Élément Roulant (BSF)</w:t>
            </w:r>
          </w:p>
        </w:tc>
        <w:tc>
          <w:tcPr>
            <w:tcW w:type="dxa" w:w="1584"/>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+3.40 σ</w:t>
            </w:r>
          </w:p>
        </w:tc>
        <w:tc>
          <w:tcPr>
            <w:tcW w:type="dxa" w:w="1584"/>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+2.10 σ</w:t>
            </w:r>
          </w:p>
        </w:tc>
        <w:tc>
          <w:tcPr>
            <w:tcW w:type="dxa" w:w="1584"/>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b/>
                <w:color w:val="1B365D"/>
                <w:sz w:val="19"/>
              </w:rPr>
              <w:t>+4.15 σ ★</w:t>
            </w:r>
          </w:p>
        </w:tc>
        <w:tc>
          <w:tcPr>
            <w:tcW w:type="dxa" w:w="1584"/>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+2.60 σ</w:t>
            </w:r>
          </w:p>
        </w:tc>
        <w:tc>
          <w:tcPr>
            <w:tcW w:type="dxa" w:w="259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Hausse du facteur de crête et modulation d'amplitude à 2x BSF.</w:t>
            </w:r>
          </w:p>
        </w:tc>
      </w:tr>
    </w:tbl>
    <w:p>
      <w:pPr>
        <w:spacing w:after="120"/>
      </w:pPr>
    </w:p>
    <w:p>
      <w:pPr>
        <w:spacing w:before="200" w:after="80"/>
        <w:jc w:val="center"/>
      </w:pPr>
      <w:r>
        <w:drawing>
          <wp:inline xmlns:a="http://schemas.openxmlformats.org/drawingml/2006/main" xmlns:pic="http://schemas.openxmlformats.org/drawingml/2006/picture">
            <wp:extent cx="5303520" cy="3374967"/>
            <wp:docPr id="10" name="Picture 10"/>
            <wp:cNvGraphicFramePr>
              <a:graphicFrameLocks noChangeAspect="1"/>
            </wp:cNvGraphicFramePr>
            <a:graphic>
              <a:graphicData uri="http://schemas.openxmlformats.org/drawingml/2006/picture">
                <pic:pic>
                  <pic:nvPicPr>
                    <pic:cNvPr id="0" name="07_xai_local_explanation.png"/>
                    <pic:cNvPicPr/>
                  </pic:nvPicPr>
                  <pic:blipFill>
                    <a:blip r:embed="rId20"/>
                    <a:stretch>
                      <a:fillRect/>
                    </a:stretch>
                  </pic:blipFill>
                  <pic:spPr>
                    <a:xfrm>
                      <a:off x="0" y="0"/>
                      <a:ext cx="5303520" cy="3374967"/>
                    </a:xfrm>
                    <a:prstGeom prst="rect"/>
                  </pic:spPr>
                </pic:pic>
              </a:graphicData>
            </a:graphic>
          </wp:inline>
        </w:drawing>
      </w:r>
    </w:p>
    <w:p>
      <w:pPr>
        <w:spacing w:before="40" w:after="240"/>
        <w:jc w:val="center"/>
      </w:pPr>
      <w:r>
        <w:rPr>
          <w:rFonts w:ascii="Calibri" w:hAnsi="Calibri"/>
          <w:b/>
          <w:color w:val="1B365D"/>
          <w:sz w:val="19"/>
        </w:rPr>
        <w:t xml:space="preserve">Figure 6.2 — </w:t>
      </w:r>
      <w:r>
        <w:rPr>
          <w:rFonts w:ascii="Calibri" w:hAnsi="Calibri"/>
          <w:i/>
          <w:color w:val="64748B"/>
          <w:sz w:val="19"/>
        </w:rPr>
        <w:t>Explication locale instantanée d'un défaut de bague interne : Distribution des Z-scores et mise en évidence du saut d'impulsion (+4.85 σ)</w:t>
      </w:r>
    </w:p>
    <w:p>
      <w:pPr>
        <w:spacing w:before="200" w:after="80"/>
        <w:jc w:val="center"/>
      </w:pPr>
      <w:r>
        <w:drawing>
          <wp:inline xmlns:a="http://schemas.openxmlformats.org/drawingml/2006/main" xmlns:pic="http://schemas.openxmlformats.org/drawingml/2006/picture">
            <wp:extent cx="5303520" cy="2651760"/>
            <wp:docPr id="11" name="Picture 11"/>
            <wp:cNvGraphicFramePr>
              <a:graphicFrameLocks noChangeAspect="1"/>
            </wp:cNvGraphicFramePr>
            <a:graphic>
              <a:graphicData uri="http://schemas.openxmlformats.org/drawingml/2006/picture">
                <pic:pic>
                  <pic:nvPicPr>
                    <pic:cNvPr id="0" name="08_xai_autoencoder_reconstruction.png"/>
                    <pic:cNvPicPr/>
                  </pic:nvPicPr>
                  <pic:blipFill>
                    <a:blip r:embed="rId21"/>
                    <a:stretch>
                      <a:fillRect/>
                    </a:stretch>
                  </pic:blipFill>
                  <pic:spPr>
                    <a:xfrm>
                      <a:off x="0" y="0"/>
                      <a:ext cx="5303520" cy="2651760"/>
                    </a:xfrm>
                    <a:prstGeom prst="rect"/>
                  </pic:spPr>
                </pic:pic>
              </a:graphicData>
            </a:graphic>
          </wp:inline>
        </w:drawing>
      </w:r>
    </w:p>
    <w:p>
      <w:pPr>
        <w:spacing w:before="40" w:after="240"/>
        <w:jc w:val="center"/>
      </w:pPr>
      <w:r>
        <w:rPr>
          <w:rFonts w:ascii="Calibri" w:hAnsi="Calibri"/>
          <w:b/>
          <w:color w:val="1B365D"/>
          <w:sz w:val="19"/>
        </w:rPr>
        <w:t xml:space="preserve">Figure 6.3 — </w:t>
      </w:r>
      <w:r>
        <w:rPr>
          <w:rFonts w:ascii="Calibri" w:hAnsi="Calibri"/>
          <w:i/>
          <w:color w:val="64748B"/>
          <w:sz w:val="19"/>
        </w:rPr>
        <w:t>Diagnostic XAI non supervisé via l'erreur de reconstruction de l'Autoencodeur PyTorch : Écart MSE par caractéristique physique</w:t>
      </w:r>
    </w:p>
    <w:p>
      <w:r>
        <w:br w:type="page"/>
      </w:r>
    </w:p>
    <w:p>
      <w:pPr>
        <w:keepNext/>
        <w:spacing w:before="280" w:after="160"/>
      </w:pPr>
      <w:r>
        <w:rPr>
          <w:rFonts w:ascii="Calibri" w:hAnsi="Calibri"/>
          <w:b/>
          <w:color w:val="1B365D"/>
          <w:sz w:val="34"/>
        </w:rPr>
        <w:t>Chapitre 7 : Agent IA / RAG &amp; Génération Automatique de Diagnostics</w:t>
      </w:r>
    </w:p>
    <w:p>
      <w:pPr>
        <w:keepNext/>
        <w:spacing w:before="240" w:after="80"/>
      </w:pPr>
      <w:r>
        <w:rPr>
          <w:rFonts w:ascii="Calibri" w:hAnsi="Calibri"/>
          <w:b/>
          <w:color w:val="2B547E"/>
          <w:sz w:val="27"/>
        </w:rPr>
        <w:t>7.1 Architecture Fonctionnelle de l'Agent RAG (Retrieval-Augmented Generation)</w:t>
      </w:r>
    </w:p>
    <w:p>
      <w:pPr>
        <w:spacing w:line="276" w:lineRule="auto" w:after="100"/>
        <w:jc w:val="both"/>
      </w:pPr>
      <w:r>
        <w:rPr>
          <w:rFonts w:ascii="Calibri" w:hAnsi="Calibri"/>
          <w:color w:val="222222"/>
          <w:sz w:val="22"/>
        </w:rPr>
        <w:t>La détection algorithmique d'une anomalie et son explicabilité par Z-scores apportent la réponse au « quoi » et au « pourquoi ». Cependant, le technicien de terrain a impérativement besoin de la réponse au « que faire maintenant ? ». Pour combler le fossé historique entre la modélisation mathématique et l'action opérationnelle de maintenance, nous avons conçu un agent conversationnel autonome fondé sur le paradigme RAG (Retrieval-Augmented Generation). Ce système associe un moteur de recherche documentaire sémantique à une synthèse textuelle rigoureuse, garantissant que toute préconisation technique s'appuie exclusivement sur des documents de référence homologués.</w:t>
      </w:r>
    </w:p>
    <w:p>
      <w:pPr>
        <w:keepNext/>
        <w:spacing w:before="240" w:after="80"/>
      </w:pPr>
      <w:r>
        <w:rPr>
          <w:rFonts w:ascii="Calibri" w:hAnsi="Calibri"/>
          <w:b/>
          <w:color w:val="2B547E"/>
          <w:sz w:val="27"/>
        </w:rPr>
        <w:t>7.2 Constitution et Organisation de la Base de Connaissances Technique (D1 à D11)</w:t>
      </w:r>
    </w:p>
    <w:p>
      <w:pPr>
        <w:spacing w:line="276" w:lineRule="auto" w:after="100"/>
        <w:jc w:val="both"/>
      </w:pPr>
      <w:r>
        <w:rPr>
          <w:rFonts w:ascii="Calibri" w:hAnsi="Calibri"/>
          <w:color w:val="222222"/>
          <w:sz w:val="22"/>
        </w:rPr>
        <w:t>L'agent RAG s'appuie sur une base documentaire hautement structurée hébergée dans `rag_agent/documents/`, regroupant 11 dossiers techniques d'ingénierie (D1 à D11) :</w:t>
      </w:r>
    </w:p>
    <w:p>
      <w:pPr>
        <w:keepNext/>
        <w:spacing w:before="200" w:after="60"/>
        <w:jc w:val="left"/>
      </w:pPr>
      <w:r>
        <w:rPr>
          <w:rFonts w:ascii="Calibri" w:hAnsi="Calibri"/>
          <w:b/>
          <w:color w:val="1B365D"/>
          <w:sz w:val="20"/>
        </w:rPr>
        <w:t xml:space="preserve">Tableau 12 — </w:t>
      </w:r>
      <w:r>
        <w:rPr>
          <w:rFonts w:ascii="Calibri" w:hAnsi="Calibri"/>
          <w:i/>
          <w:color w:val="222222"/>
          <w:sz w:val="20"/>
        </w:rPr>
        <w:t>Inventaire exhaustif de la base documentaire technique contrôlée (D1 à D11) indexée par l'agent RAG</w:t>
      </w:r>
    </w:p>
    <w:tbl>
      <w:tblPr>
        <w:tblW w:type="auto" w:w="0"/>
        <w:jc w:val="center"/>
        <w:tblLayout w:type="fixed"/>
        <w:tblLook w:firstColumn="1" w:firstRow="1" w:lastColumn="0" w:lastRow="0" w:noHBand="0" w:noVBand="1" w:val="04A0"/>
      </w:tblPr>
      <w:tblGrid>
        <w:gridCol w:w="3029"/>
        <w:gridCol w:w="3029"/>
        <w:gridCol w:w="3029"/>
      </w:tblGrid>
      <w:tr>
        <w:trPr>
          <w:tblHeader/>
        </w:trPr>
        <w:tc>
          <w:tcPr>
            <w:tcW w:type="dxa" w:w="1728"/>
            <w:vAlign w:val="center"/>
            <w:shd w:fill="1B365D"/>
          </w:tcPr>
          <w:p>
            <w:pPr>
              <w:spacing w:before="80" w:after="80"/>
              <w:jc w:val="center"/>
            </w:pPr>
            <w:r>
              <w:rPr>
                <w:rFonts w:ascii="Calibri" w:hAnsi="Calibri"/>
                <w:b/>
                <w:color w:val="FFFFFF"/>
                <w:sz w:val="20"/>
              </w:rPr>
              <w:t>Code Document</w:t>
            </w:r>
          </w:p>
        </w:tc>
        <w:tc>
          <w:tcPr>
            <w:tcW w:type="dxa" w:w="3168"/>
            <w:vAlign w:val="center"/>
            <w:shd w:fill="1B365D"/>
          </w:tcPr>
          <w:p>
            <w:pPr>
              <w:spacing w:before="80" w:after="80"/>
              <w:jc w:val="center"/>
            </w:pPr>
            <w:r>
              <w:rPr>
                <w:rFonts w:ascii="Calibri" w:hAnsi="Calibri"/>
                <w:b/>
                <w:color w:val="FFFFFF"/>
                <w:sz w:val="20"/>
              </w:rPr>
              <w:t>Titre &amp; Thématique Technique</w:t>
            </w:r>
          </w:p>
        </w:tc>
        <w:tc>
          <w:tcPr>
            <w:tcW w:type="dxa" w:w="5184"/>
            <w:vAlign w:val="center"/>
            <w:shd w:fill="1B365D"/>
          </w:tcPr>
          <w:p>
            <w:pPr>
              <w:spacing w:before="80" w:after="80"/>
              <w:jc w:val="center"/>
            </w:pPr>
            <w:r>
              <w:rPr>
                <w:rFonts w:ascii="Calibri" w:hAnsi="Calibri"/>
                <w:b/>
                <w:color w:val="FFFFFF"/>
                <w:sz w:val="20"/>
              </w:rPr>
              <w:t>Contenu Spécifique &amp; Normes Couvertes</w:t>
            </w:r>
          </w:p>
        </w:tc>
      </w:tr>
      <w:tr>
        <w:tc>
          <w:tcPr>
            <w:tcW w:type="dxa" w:w="1728"/>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D1</w:t>
            </w:r>
          </w:p>
        </w:tc>
        <w:tc>
          <w:tcPr>
            <w:tcW w:type="dxa" w:w="316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Spécifications du Banc CWRU</w:t>
            </w:r>
          </w:p>
        </w:tc>
        <w:tc>
          <w:tcPr>
            <w:tcW w:type="dxa" w:w="518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Détails du banc expérimental, capteurs DE/FE, charges moteur et vitesses.</w:t>
            </w:r>
          </w:p>
        </w:tc>
      </w:tr>
      <w:tr>
        <w:tc>
          <w:tcPr>
            <w:tcW w:type="dxa" w:w="1728"/>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D2</w:t>
            </w:r>
          </w:p>
        </w:tc>
        <w:tc>
          <w:tcPr>
            <w:tcW w:type="dxa" w:w="316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Fiche Technique Roulements SKF</w:t>
            </w:r>
          </w:p>
        </w:tc>
        <w:tc>
          <w:tcPr>
            <w:tcW w:type="dxa" w:w="5184"/>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Cotes, charges statiques/dynamiques, fréquences BPFO, BPFI, BSF, FTF.</w:t>
            </w:r>
          </w:p>
        </w:tc>
      </w:tr>
      <w:tr>
        <w:tc>
          <w:tcPr>
            <w:tcW w:type="dxa" w:w="1728"/>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D3</w:t>
            </w:r>
          </w:p>
        </w:tc>
        <w:tc>
          <w:tcPr>
            <w:tcW w:type="dxa" w:w="316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Guide d'Interprétation Vibratoire</w:t>
            </w:r>
          </w:p>
        </w:tc>
        <w:tc>
          <w:tcPr>
            <w:tcW w:type="dxa" w:w="518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Normes ISO 10816-3, analyse spectrale FFT, indicateurs Kurtosis et RMS.</w:t>
            </w:r>
          </w:p>
        </w:tc>
      </w:tr>
      <w:tr>
        <w:tc>
          <w:tcPr>
            <w:tcW w:type="dxa" w:w="1728"/>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D4</w:t>
            </w:r>
          </w:p>
        </w:tc>
        <w:tc>
          <w:tcPr>
            <w:tcW w:type="dxa" w:w="316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Résultats de Benchmark Edge AI</w:t>
            </w:r>
          </w:p>
        </w:tc>
        <w:tc>
          <w:tcPr>
            <w:tcW w:type="dxa" w:w="5184"/>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Tableaux de latences, RAM, CPU et débits sur Raspberry Pi 4.</w:t>
            </w:r>
          </w:p>
        </w:tc>
      </w:tr>
      <w:tr>
        <w:tc>
          <w:tcPr>
            <w:tcW w:type="dxa" w:w="1728"/>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D5</w:t>
            </w:r>
          </w:p>
        </w:tc>
        <w:tc>
          <w:tcPr>
            <w:tcW w:type="dxa" w:w="316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Guide d'Explicabilité XAI</w:t>
            </w:r>
          </w:p>
        </w:tc>
        <w:tc>
          <w:tcPr>
            <w:tcW w:type="dxa" w:w="518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Interprétation des Z-scores, valeurs de Shapley et signatures physiques.</w:t>
            </w:r>
          </w:p>
        </w:tc>
      </w:tr>
      <w:tr>
        <w:tc>
          <w:tcPr>
            <w:tcW w:type="dxa" w:w="1728"/>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D6</w:t>
            </w:r>
          </w:p>
        </w:tc>
        <w:tc>
          <w:tcPr>
            <w:tcW w:type="dxa" w:w="316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Cours Théorique Edge AI</w:t>
            </w:r>
          </w:p>
        </w:tc>
        <w:tc>
          <w:tcPr>
            <w:tcW w:type="dxa" w:w="5184"/>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Architectures embarquées, contraintes matérielles et compromis énergie/latence.</w:t>
            </w:r>
          </w:p>
        </w:tc>
      </w:tr>
      <w:tr>
        <w:tc>
          <w:tcPr>
            <w:tcW w:type="dxa" w:w="1728"/>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D7</w:t>
            </w:r>
          </w:p>
        </w:tc>
        <w:tc>
          <w:tcPr>
            <w:tcW w:type="dxa" w:w="316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Énoncé du Cas d'Étude TP</w:t>
            </w:r>
          </w:p>
        </w:tc>
        <w:tc>
          <w:tcPr>
            <w:tcW w:type="dxa" w:w="518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Sujet officiel des travaux pratiques ingénieur de 16 heures.</w:t>
            </w:r>
          </w:p>
        </w:tc>
      </w:tr>
      <w:tr>
        <w:tc>
          <w:tcPr>
            <w:tcW w:type="dxa" w:w="1728"/>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D8</w:t>
            </w:r>
          </w:p>
        </w:tc>
        <w:tc>
          <w:tcPr>
            <w:tcW w:type="dxa" w:w="316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Grille d'Évaluation Pédagogique</w:t>
            </w:r>
          </w:p>
        </w:tc>
        <w:tc>
          <w:tcPr>
            <w:tcW w:type="dxa" w:w="5184"/>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Barème détaillé sur 20 points et critères de notation des livrables.</w:t>
            </w:r>
          </w:p>
        </w:tc>
      </w:tr>
      <w:tr>
        <w:tc>
          <w:tcPr>
            <w:tcW w:type="dxa" w:w="1728"/>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D9</w:t>
            </w:r>
          </w:p>
        </w:tc>
        <w:tc>
          <w:tcPr>
            <w:tcW w:type="dxa" w:w="316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Théorie du Traitement du Signal</w:t>
            </w:r>
          </w:p>
        </w:tc>
        <w:tc>
          <w:tcPr>
            <w:tcW w:type="dxa" w:w="518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Théorème de Shannon-Nyquist, fenêtrage de Hanning, transformée FFT.</w:t>
            </w:r>
          </w:p>
        </w:tc>
      </w:tr>
      <w:tr>
        <w:tc>
          <w:tcPr>
            <w:tcW w:type="dxa" w:w="1728"/>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D10</w:t>
            </w:r>
          </w:p>
        </w:tc>
        <w:tc>
          <w:tcPr>
            <w:tcW w:type="dxa" w:w="316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Architectures Deep Learning</w:t>
            </w:r>
          </w:p>
        </w:tc>
        <w:tc>
          <w:tcPr>
            <w:tcW w:type="dxa" w:w="5184"/>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Convolutions 1D, autoencodeurs, fonctions de perte et régularisation.</w:t>
            </w:r>
          </w:p>
        </w:tc>
      </w:tr>
      <w:tr>
        <w:tc>
          <w:tcPr>
            <w:tcW w:type="dxa" w:w="1728"/>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D11</w:t>
            </w:r>
          </w:p>
        </w:tc>
        <w:tc>
          <w:tcPr>
            <w:tcW w:type="dxa" w:w="316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Techniques d'Optimisation Edge</w:t>
            </w:r>
          </w:p>
        </w:tc>
        <w:tc>
          <w:tcPr>
            <w:tcW w:type="dxa" w:w="518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Quantification INT8, élagage de poids, compilateurs ONNX et Treelite.</w:t>
            </w:r>
          </w:p>
        </w:tc>
      </w:tr>
    </w:tbl>
    <w:p>
      <w:pPr>
        <w:spacing w:after="120"/>
      </w:pPr>
    </w:p>
    <w:p>
      <w:pPr>
        <w:keepNext/>
        <w:spacing w:before="240" w:after="80"/>
      </w:pPr>
      <w:r>
        <w:rPr>
          <w:rFonts w:ascii="Calibri" w:hAnsi="Calibri"/>
          <w:b/>
          <w:color w:val="2B547E"/>
          <w:sz w:val="27"/>
        </w:rPr>
        <w:t>7.3 Indexation Sémantique Vectorielle et Calcul de Similarité Cosinus</w:t>
      </w:r>
    </w:p>
    <w:p>
      <w:pPr>
        <w:spacing w:line="276" w:lineRule="auto" w:after="100"/>
        <w:jc w:val="both"/>
      </w:pPr>
      <w:r>
        <w:rPr>
          <w:rFonts w:ascii="Calibri" w:hAnsi="Calibri"/>
          <w:b/>
          <w:color w:val="1B365D"/>
          <w:sz w:val="22"/>
        </w:rPr>
        <w:t xml:space="preserve">Stratégie d'Indexation RAG : </w:t>
      </w:r>
      <w:r>
        <w:rPr>
          <w:rFonts w:ascii="Calibri" w:hAnsi="Calibri"/>
          <w:color w:val="222222"/>
          <w:sz w:val="22"/>
        </w:rPr>
        <w:t>Le pipeline d'indexation (`rag_agent/build_index.py`) découpe les 11 documents Markdown en 84 sections sémantiques homogènes (chunks). Deux modes d'indexation complémentaires ont été développés :</w:t>
      </w:r>
    </w:p>
    <w:p>
      <w:pPr>
        <w:pStyle w:val="ListBullet"/>
        <w:spacing w:line="276" w:lineRule="auto" w:after="60"/>
        <w:jc w:val="both"/>
      </w:pPr>
      <w:r>
        <w:rPr>
          <w:rFonts w:ascii="Calibri" w:hAnsi="Calibri"/>
          <w:b/>
          <w:color w:val="2B547E"/>
          <w:sz w:val="22"/>
        </w:rPr>
        <w:t xml:space="preserve">Moteur Dense (Embeddings) : </w:t>
      </w:r>
      <w:r>
        <w:rPr>
          <w:rFonts w:ascii="Calibri" w:hAnsi="Calibri"/>
          <w:color w:val="222222"/>
          <w:sz w:val="22"/>
        </w:rPr>
        <w:t>Un moteur dense exploitant le modèle d'embeddings multilingue compact `paraphrase-multilingual-MiniLM-L12-v2` (Sentence-Transformers), projetant les requêtes et les documents dans un espace vectoriel de dimension 384.</w:t>
      </w:r>
    </w:p>
    <w:p>
      <w:pPr>
        <w:pStyle w:val="ListBullet"/>
        <w:spacing w:line="276" w:lineRule="auto" w:after="60"/>
        <w:jc w:val="both"/>
      </w:pPr>
      <w:r>
        <w:rPr>
          <w:rFonts w:ascii="Calibri" w:hAnsi="Calibri"/>
          <w:b/>
          <w:color w:val="2B547E"/>
          <w:sz w:val="22"/>
        </w:rPr>
        <w:t xml:space="preserve">Moteur Léger (TF-IDF) : </w:t>
      </w:r>
      <w:r>
        <w:rPr>
          <w:rFonts w:ascii="Calibri" w:hAnsi="Calibri"/>
          <w:color w:val="222222"/>
          <w:sz w:val="22"/>
        </w:rPr>
        <w:t>Un moteur statistique ultra-léger basé sur la vectorisation TF-IDF (Term Frequency - Inverse Document Frequency) et la similarité cosinus, ne consommant que 90 Ko de mémoire et ne requérant aucun téléchargement réseau, idéal pour une cible industrielle isolée.</w:t>
      </w:r>
    </w:p>
    <w:p>
      <w:pPr>
        <w:spacing w:line="276" w:lineRule="auto" w:after="100"/>
        <w:jc w:val="both"/>
      </w:pPr>
      <w:r>
        <w:rPr>
          <w:rFonts w:ascii="Calibri" w:hAnsi="Calibri"/>
          <w:color w:val="222222"/>
          <w:sz w:val="22"/>
        </w:rPr>
        <w:t>Le calcul de similarité entre le vecteur requête $\vec{q}$ et le vecteur document $\vec{d}_i$ s'effectue par similarité cosinus :</w:t>
      </w:r>
    </w:p>
    <w:p>
      <w:pPr>
        <w:spacing w:line="276" w:lineRule="auto" w:after="100"/>
        <w:jc w:val="both"/>
      </w:pPr>
      <w:r>
        <w:rPr>
          <w:rFonts w:ascii="Calibri" w:hAnsi="Calibri"/>
          <w:color w:val="222222"/>
          <w:sz w:val="22"/>
        </w:rPr>
        <w:t>$$\text{Sim}(\vec{q}, \vec{d}_i) = \frac{\vec{q} \cdot \vec{d}_i}{\|\vec{q}\| \cdot \|\vec{d}_i\|}$$</w:t>
      </w:r>
    </w:p>
    <w:p>
      <w:pPr>
        <w:keepNext/>
        <w:spacing w:before="200" w:after="60"/>
        <w:jc w:val="left"/>
      </w:pPr>
      <w:r>
        <w:rPr>
          <w:rFonts w:ascii="Calibri" w:hAnsi="Calibri"/>
          <w:b/>
          <w:color w:val="1B365D"/>
          <w:sz w:val="20"/>
        </w:rPr>
        <w:t xml:space="preserve">Tableau 13 — </w:t>
      </w:r>
      <w:r>
        <w:rPr>
          <w:rFonts w:ascii="Calibri" w:hAnsi="Calibri"/>
          <w:i/>
          <w:color w:val="222222"/>
          <w:sz w:val="20"/>
        </w:rPr>
        <w:t>Évaluation de la précision de récupération et scores de similarité cosinus pour les requêtes types de maintenance</w:t>
      </w:r>
    </w:p>
    <w:tbl>
      <w:tblPr>
        <w:tblW w:type="auto" w:w="0"/>
        <w:jc w:val="center"/>
        <w:tblLayout w:type="fixed"/>
        <w:tblLook w:firstColumn="1" w:firstRow="1" w:lastColumn="0" w:lastRow="0" w:noHBand="0" w:noVBand="1" w:val="04A0"/>
      </w:tblPr>
      <w:tblGrid>
        <w:gridCol w:w="2272"/>
        <w:gridCol w:w="2272"/>
        <w:gridCol w:w="2272"/>
        <w:gridCol w:w="2272"/>
      </w:tblGrid>
      <w:tr>
        <w:trPr>
          <w:tblHeader/>
        </w:trPr>
        <w:tc>
          <w:tcPr>
            <w:tcW w:type="dxa" w:w="2880"/>
            <w:vAlign w:val="center"/>
            <w:shd w:fill="1B365D"/>
          </w:tcPr>
          <w:p>
            <w:pPr>
              <w:spacing w:before="80" w:after="80"/>
              <w:jc w:val="center"/>
            </w:pPr>
            <w:r>
              <w:rPr>
                <w:rFonts w:ascii="Calibri" w:hAnsi="Calibri"/>
                <w:b/>
                <w:color w:val="FFFFFF"/>
                <w:sz w:val="20"/>
              </w:rPr>
              <w:t>Type de Requête Opérateur</w:t>
            </w:r>
          </w:p>
        </w:tc>
        <w:tc>
          <w:tcPr>
            <w:tcW w:type="dxa" w:w="3312"/>
            <w:vAlign w:val="center"/>
            <w:shd w:fill="1B365D"/>
          </w:tcPr>
          <w:p>
            <w:pPr>
              <w:spacing w:before="80" w:after="80"/>
              <w:jc w:val="center"/>
            </w:pPr>
            <w:r>
              <w:rPr>
                <w:rFonts w:ascii="Calibri" w:hAnsi="Calibri"/>
                <w:b/>
                <w:color w:val="FFFFFF"/>
                <w:sz w:val="20"/>
              </w:rPr>
              <w:t>Document Cible Récupéré</w:t>
            </w:r>
          </w:p>
        </w:tc>
        <w:tc>
          <w:tcPr>
            <w:tcW w:type="dxa" w:w="1728"/>
            <w:vAlign w:val="center"/>
            <w:shd w:fill="1B365D"/>
          </w:tcPr>
          <w:p>
            <w:pPr>
              <w:spacing w:before="80" w:after="80"/>
              <w:jc w:val="center"/>
            </w:pPr>
            <w:r>
              <w:rPr>
                <w:rFonts w:ascii="Calibri" w:hAnsi="Calibri"/>
                <w:b/>
                <w:color w:val="FFFFFF"/>
                <w:sz w:val="20"/>
              </w:rPr>
              <w:t>Score Similarité Cosinus</w:t>
            </w:r>
          </w:p>
        </w:tc>
        <w:tc>
          <w:tcPr>
            <w:tcW w:type="dxa" w:w="2160"/>
            <w:vAlign w:val="center"/>
            <w:shd w:fill="1B365D"/>
          </w:tcPr>
          <w:p>
            <w:pPr>
              <w:spacing w:before="80" w:after="80"/>
              <w:jc w:val="center"/>
            </w:pPr>
            <w:r>
              <w:rPr>
                <w:rFonts w:ascii="Calibri" w:hAnsi="Calibri"/>
                <w:b/>
                <w:color w:val="FFFFFF"/>
                <w:sz w:val="20"/>
              </w:rPr>
              <w:t>Taux de Succès</w:t>
            </w:r>
          </w:p>
        </w:tc>
      </w:tr>
      <w:tr>
        <w:tc>
          <w:tcPr>
            <w:tcW w:type="dxa" w:w="288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Diagnostic défaut bague interne</w:t>
            </w:r>
          </w:p>
        </w:tc>
        <w:tc>
          <w:tcPr>
            <w:tcW w:type="dxa" w:w="331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D2_fiche_technique_roulements.md</w:t>
            </w:r>
          </w:p>
        </w:tc>
        <w:tc>
          <w:tcPr>
            <w:tcW w:type="dxa" w:w="172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0.912</w:t>
            </w:r>
          </w:p>
        </w:tc>
        <w:tc>
          <w:tcPr>
            <w:tcW w:type="dxa" w:w="216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100 % (Pertinence parfaite)</w:t>
            </w:r>
          </w:p>
        </w:tc>
      </w:tr>
      <w:tr>
        <w:tc>
          <w:tcPr>
            <w:tcW w:type="dxa" w:w="2880"/>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Procédure réparation et consignation LOTO</w:t>
            </w:r>
          </w:p>
        </w:tc>
        <w:tc>
          <w:tcPr>
            <w:tcW w:type="dxa" w:w="331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D2 et D3_guide_caracteristiques.md</w:t>
            </w:r>
          </w:p>
        </w:tc>
        <w:tc>
          <w:tcPr>
            <w:tcW w:type="dxa" w:w="172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0.885</w:t>
            </w:r>
          </w:p>
        </w:tc>
        <w:tc>
          <w:tcPr>
            <w:tcW w:type="dxa" w:w="216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100 % (Étapes exactes)</w:t>
            </w:r>
          </w:p>
        </w:tc>
      </w:tr>
      <w:tr>
        <w:tc>
          <w:tcPr>
            <w:tcW w:type="dxa" w:w="288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Interprétation élévation de Kurtosis</w:t>
            </w:r>
          </w:p>
        </w:tc>
        <w:tc>
          <w:tcPr>
            <w:tcW w:type="dxa" w:w="331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D5_resultats_explicabilite_xai.md</w:t>
            </w:r>
          </w:p>
        </w:tc>
        <w:tc>
          <w:tcPr>
            <w:tcW w:type="dxa" w:w="172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0.942</w:t>
            </w:r>
          </w:p>
        </w:tc>
        <w:tc>
          <w:tcPr>
            <w:tcW w:type="dxa" w:w="216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100 % (Seuils physiques cités)</w:t>
            </w:r>
          </w:p>
        </w:tc>
      </w:tr>
      <w:tr>
        <w:tc>
          <w:tcPr>
            <w:tcW w:type="dxa" w:w="2880"/>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Performances de latence Raspberry Pi</w:t>
            </w:r>
          </w:p>
        </w:tc>
        <w:tc>
          <w:tcPr>
            <w:tcW w:type="dxa" w:w="331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D4_resultats_benchmark_edge.md</w:t>
            </w:r>
          </w:p>
        </w:tc>
        <w:tc>
          <w:tcPr>
            <w:tcW w:type="dxa" w:w="172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0.965</w:t>
            </w:r>
          </w:p>
        </w:tc>
        <w:tc>
          <w:tcPr>
            <w:tcW w:type="dxa" w:w="216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100 % (Métriques exactes)</w:t>
            </w:r>
          </w:p>
        </w:tc>
      </w:tr>
    </w:tbl>
    <w:p>
      <w:pPr>
        <w:spacing w:after="120"/>
      </w:pPr>
    </w:p>
    <w:p>
      <w:pPr>
        <w:keepNext/>
        <w:spacing w:before="240" w:after="80"/>
      </w:pPr>
      <w:r>
        <w:rPr>
          <w:rFonts w:ascii="Calibri" w:hAnsi="Calibri"/>
          <w:b/>
          <w:color w:val="2B547E"/>
          <w:sz w:val="27"/>
        </w:rPr>
        <w:t>7.4 Générateur Automatisé de Fiches d'Intervention Technique et Protocoles LOTO</w:t>
      </w:r>
    </w:p>
    <w:p>
      <w:pPr>
        <w:spacing w:line="276" w:lineRule="auto" w:after="100"/>
        <w:jc w:val="both"/>
      </w:pPr>
      <w:r>
        <w:rPr>
          <w:rFonts w:ascii="Calibri" w:hAnsi="Calibri"/>
          <w:b/>
          <w:color w:val="1B365D"/>
          <w:sz w:val="22"/>
        </w:rPr>
        <w:t xml:space="preserve">Protocole d'Intervention Standardisé : </w:t>
      </w:r>
      <w:r>
        <w:rPr>
          <w:rFonts w:ascii="Calibri" w:hAnsi="Calibri"/>
          <w:color w:val="222222"/>
          <w:sz w:val="22"/>
        </w:rPr>
        <w:t>Grâce au script `rag_agent/generate_diagnostic.py`, dès qu'une anomalie est confirmée par le modèle Edge, l'agent RAG génère automatiquement un rapport d'intervention structuré destiné au chef d'équipe de maintenance. Ce document stipule systématiquement les 5 étapes incontournables :</w:t>
      </w:r>
    </w:p>
    <w:p>
      <w:pPr>
        <w:pStyle w:val="ListBullet"/>
        <w:spacing w:line="276" w:lineRule="auto" w:after="60"/>
        <w:jc w:val="both"/>
      </w:pPr>
      <w:r>
        <w:rPr>
          <w:rFonts w:ascii="Calibri" w:hAnsi="Calibri"/>
          <w:b/>
          <w:color w:val="2B547E"/>
          <w:sz w:val="22"/>
        </w:rPr>
        <w:t xml:space="preserve">1. Consignation Électrique (LOTO) : </w:t>
      </w:r>
      <w:r>
        <w:rPr>
          <w:rFonts w:ascii="Calibri" w:hAnsi="Calibri"/>
          <w:color w:val="222222"/>
          <w:sz w:val="22"/>
        </w:rPr>
        <w:t>Coupure de l'alimentation électrique du moteur 01, cadenassage du disjoncteur et apposition de l'étiquette de consignation (Procédure LOTO conforme à la norme NF C 18-510).</w:t>
      </w:r>
    </w:p>
    <w:p>
      <w:pPr>
        <w:pStyle w:val="ListBullet"/>
        <w:spacing w:line="276" w:lineRule="auto" w:after="60"/>
        <w:jc w:val="both"/>
      </w:pPr>
      <w:r>
        <w:rPr>
          <w:rFonts w:ascii="Calibri" w:hAnsi="Calibri"/>
          <w:b/>
          <w:color w:val="2B547E"/>
          <w:sz w:val="22"/>
        </w:rPr>
        <w:t xml:space="preserve">2. Démontage &amp; Sécurité : </w:t>
      </w:r>
      <w:r>
        <w:rPr>
          <w:rFonts w:ascii="Calibri" w:hAnsi="Calibri"/>
          <w:color w:val="222222"/>
          <w:sz w:val="22"/>
        </w:rPr>
        <w:t>Vérification de l'absence de tension (VAT), dépose des carters de protection et extraction mécanique du palier défaillant.</w:t>
      </w:r>
    </w:p>
    <w:p>
      <w:pPr>
        <w:pStyle w:val="ListBullet"/>
        <w:spacing w:line="276" w:lineRule="auto" w:after="60"/>
        <w:jc w:val="both"/>
      </w:pPr>
      <w:r>
        <w:rPr>
          <w:rFonts w:ascii="Calibri" w:hAnsi="Calibri"/>
          <w:b/>
          <w:color w:val="2B547E"/>
          <w:sz w:val="22"/>
        </w:rPr>
        <w:t xml:space="preserve">3. Inspection Visuelle : </w:t>
      </w:r>
      <w:r>
        <w:rPr>
          <w:rFonts w:ascii="Calibri" w:hAnsi="Calibri"/>
          <w:color w:val="222222"/>
          <w:sz w:val="22"/>
        </w:rPr>
        <w:t>Examen de la portée d'arbre et recherche des traces d'écaillage, de grippage ou de fretting corrosion.</w:t>
      </w:r>
    </w:p>
    <w:p>
      <w:pPr>
        <w:pStyle w:val="ListBullet"/>
        <w:spacing w:line="276" w:lineRule="auto" w:after="60"/>
        <w:jc w:val="both"/>
      </w:pPr>
      <w:r>
        <w:rPr>
          <w:rFonts w:ascii="Calibri" w:hAnsi="Calibri"/>
          <w:b/>
          <w:color w:val="2B547E"/>
          <w:sz w:val="22"/>
        </w:rPr>
        <w:t xml:space="preserve">4. Remplacement Conforme : </w:t>
      </w:r>
      <w:r>
        <w:rPr>
          <w:rFonts w:ascii="Calibri" w:hAnsi="Calibri"/>
          <w:color w:val="222222"/>
          <w:sz w:val="22"/>
        </w:rPr>
        <w:t>Chauffage du nouveau roulement SKF 6205-2RS par induction thermique à 110 °C avant montage sur l'arbre, proscrivant tout choc au marteau.</w:t>
      </w:r>
    </w:p>
    <w:p>
      <w:pPr>
        <w:pStyle w:val="ListBullet"/>
        <w:spacing w:line="276" w:lineRule="auto" w:after="60"/>
        <w:jc w:val="both"/>
      </w:pPr>
      <w:r>
        <w:rPr>
          <w:rFonts w:ascii="Calibri" w:hAnsi="Calibri"/>
          <w:b/>
          <w:color w:val="2B547E"/>
          <w:sz w:val="22"/>
        </w:rPr>
        <w:t xml:space="preserve">5. Validation Post-Réparation : </w:t>
      </w:r>
      <w:r>
        <w:rPr>
          <w:rFonts w:ascii="Calibri" w:hAnsi="Calibri"/>
          <w:color w:val="222222"/>
          <w:sz w:val="22"/>
        </w:rPr>
        <w:t>Remise en service progressive, relance de l'acquisition Edge AI et validation de la redescente du Kurtosis sous le seuil nominal de 3.0.</w:t>
      </w:r>
    </w:p>
    <w:p>
      <w:r>
        <w:br w:type="page"/>
      </w:r>
    </w:p>
    <w:p>
      <w:pPr>
        <w:keepNext/>
        <w:spacing w:before="280" w:after="160"/>
      </w:pPr>
      <w:r>
        <w:rPr>
          <w:rFonts w:ascii="Calibri" w:hAnsi="Calibri"/>
          <w:b/>
          <w:color w:val="1B365D"/>
          <w:sz w:val="34"/>
        </w:rPr>
        <w:t>Chapitre 8 : Architecture Logicielle Full-Stack, Interface Web &amp; Validation Système</w:t>
      </w:r>
    </w:p>
    <w:p>
      <w:pPr>
        <w:keepNext/>
        <w:spacing w:before="240" w:after="80"/>
      </w:pPr>
      <w:r>
        <w:rPr>
          <w:rFonts w:ascii="Calibri" w:hAnsi="Calibri"/>
          <w:b/>
          <w:color w:val="2B547E"/>
          <w:sz w:val="27"/>
        </w:rPr>
        <w:t>8.1 Conception Modulaire et Principes de la Clean Architecture</w:t>
      </w:r>
    </w:p>
    <w:p>
      <w:pPr>
        <w:spacing w:line="276" w:lineRule="auto" w:after="100"/>
        <w:jc w:val="both"/>
      </w:pPr>
      <w:r>
        <w:rPr>
          <w:rFonts w:ascii="Calibri" w:hAnsi="Calibri"/>
          <w:color w:val="222222"/>
          <w:sz w:val="22"/>
        </w:rPr>
        <w:t>Pour transformer ces avancées algorithmiques en un produit industriel fini et convivial, nous avons développé une suite logicielle complète respectant les préceptes de la Clean Architecture. Le système opère selon une séparation rigoureuse entre la couche algorithmique d'inférence (Python / NumPy / Scikit-Learn), la couche de services API backend (FastAPI) et la couche de présentation ergonomique cockpit (React / Vite).</w:t>
      </w:r>
    </w:p>
    <w:p>
      <w:pPr>
        <w:keepNext/>
        <w:spacing w:before="240" w:after="80"/>
      </w:pPr>
      <w:r>
        <w:rPr>
          <w:rFonts w:ascii="Calibri" w:hAnsi="Calibri"/>
          <w:b/>
          <w:color w:val="2B547E"/>
          <w:sz w:val="27"/>
        </w:rPr>
        <w:t>8.2 Backend REST Haute Performance avec FastAPI</w:t>
      </w:r>
    </w:p>
    <w:p>
      <w:pPr>
        <w:spacing w:line="276" w:lineRule="auto" w:after="100"/>
        <w:jc w:val="both"/>
      </w:pPr>
      <w:r>
        <w:rPr>
          <w:rFonts w:ascii="Calibri" w:hAnsi="Calibri"/>
          <w:color w:val="222222"/>
          <w:sz w:val="22"/>
        </w:rPr>
        <w:t>Le backend (`api/main.py`) est propulsé par le framework asynchrone FastAPI. Il expose un ensemble d'endpoints REST sécurisés documentés automatiquement via Swagger/OpenAPI (`http://127.0.0.1:8000/docs`) :</w:t>
      </w:r>
    </w:p>
    <w:p>
      <w:pPr>
        <w:keepNext/>
        <w:spacing w:before="200" w:after="60"/>
        <w:jc w:val="left"/>
      </w:pPr>
      <w:r>
        <w:rPr>
          <w:rFonts w:ascii="Calibri" w:hAnsi="Calibri"/>
          <w:b/>
          <w:color w:val="1B365D"/>
          <w:sz w:val="20"/>
        </w:rPr>
        <w:t xml:space="preserve">Tableau 14 — </w:t>
      </w:r>
      <w:r>
        <w:rPr>
          <w:rFonts w:ascii="Calibri" w:hAnsi="Calibri"/>
          <w:i/>
          <w:color w:val="222222"/>
          <w:sz w:val="20"/>
        </w:rPr>
        <w:t>Spécification des points de terminaison (endpoints) de l'API REST FastAPI de surveillance industrielle</w:t>
      </w:r>
    </w:p>
    <w:tbl>
      <w:tblPr>
        <w:tblW w:type="auto" w:w="0"/>
        <w:jc w:val="center"/>
        <w:tblLayout w:type="fixed"/>
        <w:tblLook w:firstColumn="1" w:firstRow="1" w:lastColumn="0" w:lastRow="0" w:noHBand="0" w:noVBand="1" w:val="04A0"/>
      </w:tblPr>
      <w:tblGrid>
        <w:gridCol w:w="3029"/>
        <w:gridCol w:w="3029"/>
        <w:gridCol w:w="3029"/>
      </w:tblGrid>
      <w:tr>
        <w:trPr>
          <w:tblHeader/>
        </w:trPr>
        <w:tc>
          <w:tcPr>
            <w:tcW w:type="dxa" w:w="1440"/>
            <w:vAlign w:val="center"/>
            <w:shd w:fill="1B365D"/>
          </w:tcPr>
          <w:p>
            <w:pPr>
              <w:spacing w:before="80" w:after="80"/>
              <w:jc w:val="center"/>
            </w:pPr>
            <w:r>
              <w:rPr>
                <w:rFonts w:ascii="Calibri" w:hAnsi="Calibri"/>
                <w:b/>
                <w:color w:val="FFFFFF"/>
                <w:sz w:val="20"/>
              </w:rPr>
              <w:t>Méthode</w:t>
            </w:r>
          </w:p>
        </w:tc>
        <w:tc>
          <w:tcPr>
            <w:tcW w:type="dxa" w:w="3168"/>
            <w:vAlign w:val="center"/>
            <w:shd w:fill="1B365D"/>
          </w:tcPr>
          <w:p>
            <w:pPr>
              <w:spacing w:before="80" w:after="80"/>
              <w:jc w:val="center"/>
            </w:pPr>
            <w:r>
              <w:rPr>
                <w:rFonts w:ascii="Calibri" w:hAnsi="Calibri"/>
                <w:b/>
                <w:color w:val="FFFFFF"/>
                <w:sz w:val="20"/>
              </w:rPr>
              <w:t>Point de Terminaison (Endpoint)</w:t>
            </w:r>
          </w:p>
        </w:tc>
        <w:tc>
          <w:tcPr>
            <w:tcW w:type="dxa" w:w="5472"/>
            <w:vAlign w:val="center"/>
            <w:shd w:fill="1B365D"/>
          </w:tcPr>
          <w:p>
            <w:pPr>
              <w:spacing w:before="80" w:after="80"/>
              <w:jc w:val="center"/>
            </w:pPr>
            <w:r>
              <w:rPr>
                <w:rFonts w:ascii="Calibri" w:hAnsi="Calibri"/>
                <w:b/>
                <w:color w:val="FFFFFF"/>
                <w:sz w:val="20"/>
              </w:rPr>
              <w:t>Rôle Fonctionnel &amp; Données Échangées</w:t>
            </w:r>
          </w:p>
        </w:tc>
      </w:tr>
      <w:tr>
        <w:tc>
          <w:tcPr>
            <w:tcW w:type="dxa" w:w="144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GET</w:t>
            </w:r>
          </w:p>
        </w:tc>
        <w:tc>
          <w:tcPr>
            <w:tcW w:type="dxa" w:w="316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/api/metrics</w:t>
            </w:r>
          </w:p>
        </w:tc>
        <w:tc>
          <w:tcPr>
            <w:tcW w:type="dxa" w:w="547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Fournit les métriques de benchmark matériel Raspberry Pi (latence, RAM, CPU).</w:t>
            </w:r>
          </w:p>
        </w:tc>
      </w:tr>
      <w:tr>
        <w:tc>
          <w:tcPr>
            <w:tcW w:type="dxa" w:w="1440"/>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GET</w:t>
            </w:r>
          </w:p>
        </w:tc>
        <w:tc>
          <w:tcPr>
            <w:tcW w:type="dxa" w:w="316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/api/signal/sample</w:t>
            </w:r>
          </w:p>
        </w:tc>
        <w:tc>
          <w:tcPr>
            <w:tcW w:type="dxa" w:w="547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Transmet en flux continu les signaux vibratoires temporels et le spectre FFT associé.</w:t>
            </w:r>
          </w:p>
        </w:tc>
      </w:tr>
      <w:tr>
        <w:tc>
          <w:tcPr>
            <w:tcW w:type="dxa" w:w="144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GET</w:t>
            </w:r>
          </w:p>
        </w:tc>
        <w:tc>
          <w:tcPr>
            <w:tcW w:type="dxa" w:w="316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/api/predict/simulate</w:t>
            </w:r>
          </w:p>
        </w:tc>
        <w:tc>
          <w:tcPr>
            <w:tcW w:type="dxa" w:w="547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Déclenche une simulation d'inférence temps réel sur un échantillon de test aléatoire.</w:t>
            </w:r>
          </w:p>
        </w:tc>
      </w:tr>
      <w:tr>
        <w:tc>
          <w:tcPr>
            <w:tcW w:type="dxa" w:w="1440"/>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POST</w:t>
            </w:r>
          </w:p>
        </w:tc>
        <w:tc>
          <w:tcPr>
            <w:tcW w:type="dxa" w:w="316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/api/predict/upload</w:t>
            </w:r>
          </w:p>
        </w:tc>
        <w:tc>
          <w:tcPr>
            <w:tcW w:type="dxa" w:w="547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Reçoit un fichier de données réelles (CSV, TXT, NPY, NASA IMS), extrait les 16 features et infère.</w:t>
            </w:r>
          </w:p>
        </w:tc>
      </w:tr>
      <w:tr>
        <w:tc>
          <w:tcPr>
            <w:tcW w:type="dxa" w:w="144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POST</w:t>
            </w:r>
          </w:p>
        </w:tc>
        <w:tc>
          <w:tcPr>
            <w:tcW w:type="dxa" w:w="316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/api/chat</w:t>
            </w:r>
          </w:p>
        </w:tc>
        <w:tc>
          <w:tcPr>
            <w:tcW w:type="dxa" w:w="547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Interface conversationnelle avec l'agent RAG connecté à l'alerte prédictive active.</w:t>
            </w:r>
          </w:p>
        </w:tc>
      </w:tr>
      <w:tr>
        <w:tc>
          <w:tcPr>
            <w:tcW w:type="dxa" w:w="1440"/>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POST</w:t>
            </w:r>
          </w:p>
        </w:tc>
        <w:tc>
          <w:tcPr>
            <w:tcW w:type="dxa" w:w="316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/api/report/pdf</w:t>
            </w:r>
          </w:p>
        </w:tc>
        <w:tc>
          <w:tcPr>
            <w:tcW w:type="dxa" w:w="547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Génère et télécharge dynamiquement une fiche d'intervention technique officielle au format PDF.</w:t>
            </w:r>
          </w:p>
        </w:tc>
      </w:tr>
    </w:tbl>
    <w:p>
      <w:pPr>
        <w:spacing w:after="120"/>
      </w:pPr>
    </w:p>
    <w:p>
      <w:pPr>
        <w:keepNext/>
        <w:spacing w:before="240" w:after="80"/>
      </w:pPr>
      <w:r>
        <w:rPr>
          <w:rFonts w:ascii="Calibri" w:hAnsi="Calibri"/>
          <w:b/>
          <w:color w:val="2B547E"/>
          <w:sz w:val="27"/>
        </w:rPr>
        <w:t>8.3 Dashboard Industriel Temps Réel Développé sous React et Vite</w:t>
      </w:r>
    </w:p>
    <w:p>
      <w:pPr>
        <w:spacing w:line="276" w:lineRule="auto" w:after="100"/>
        <w:jc w:val="both"/>
      </w:pPr>
      <w:r>
        <w:rPr>
          <w:rFonts w:ascii="Calibri" w:hAnsi="Calibri"/>
          <w:color w:val="222222"/>
          <w:sz w:val="22"/>
        </w:rPr>
        <w:t>L'interface utilisateur (`frontend/src/App.jsx`) a été réalisée sous React 19 et packagée avec le bundler ultra-rapide Vite. Elle arbore une charte graphique industrielle moderne de type « cockpit haute technologie » avec effets de verre (glassmorphism), mode sombre anti-fatigue visuelle pour les salles de contrôle d'usine et composants réactifs :</w:t>
      </w:r>
    </w:p>
    <w:p>
      <w:pPr>
        <w:pStyle w:val="ListBullet"/>
        <w:spacing w:line="276" w:lineRule="auto" w:after="60"/>
        <w:jc w:val="both"/>
      </w:pPr>
      <w:r>
        <w:rPr>
          <w:rFonts w:ascii="Calibri" w:hAnsi="Calibri"/>
          <w:b/>
          <w:color w:val="2B547E"/>
          <w:sz w:val="22"/>
        </w:rPr>
        <w:t xml:space="preserve">Oscilloscope Vibratoire &amp; Analyseur FFT : </w:t>
      </w:r>
      <w:r>
        <w:rPr>
          <w:rFonts w:ascii="Calibri" w:hAnsi="Calibri"/>
          <w:color w:val="222222"/>
          <w:sz w:val="22"/>
        </w:rPr>
        <w:t>Rendu fluide à 60 images/seconde de la forme d'onde accélérométrique (500 points affichés) et du spectre FFT instantané via la bibliothèque Recharts.</w:t>
      </w:r>
    </w:p>
    <w:p>
      <w:pPr>
        <w:pStyle w:val="ListBullet"/>
        <w:spacing w:line="276" w:lineRule="auto" w:after="60"/>
        <w:jc w:val="both"/>
      </w:pPr>
      <w:r>
        <w:rPr>
          <w:rFonts w:ascii="Calibri" w:hAnsi="Calibri"/>
          <w:b/>
          <w:color w:val="2B547E"/>
          <w:sz w:val="22"/>
        </w:rPr>
        <w:t xml:space="preserve">Cartouche d'Alerte Dynamique : </w:t>
      </w:r>
      <w:r>
        <w:rPr>
          <w:rFonts w:ascii="Calibri" w:hAnsi="Calibri"/>
          <w:color w:val="222222"/>
          <w:sz w:val="22"/>
        </w:rPr>
        <w:t>Affichage instantané du diagnostic, du niveau de confiance algorithmique (ex: 99.5 %) et de la latence d'exécution (0.22 ms).</w:t>
      </w:r>
    </w:p>
    <w:p>
      <w:pPr>
        <w:pStyle w:val="ListBullet"/>
        <w:spacing w:line="276" w:lineRule="auto" w:after="60"/>
        <w:jc w:val="both"/>
      </w:pPr>
      <w:r>
        <w:rPr>
          <w:rFonts w:ascii="Calibri" w:hAnsi="Calibri"/>
          <w:b/>
          <w:color w:val="2B547E"/>
          <w:sz w:val="22"/>
        </w:rPr>
        <w:t xml:space="preserve">Module d'Importation Universel : </w:t>
      </w:r>
      <w:r>
        <w:rPr>
          <w:rFonts w:ascii="Calibri" w:hAnsi="Calibri"/>
          <w:color w:val="222222"/>
          <w:sz w:val="22"/>
        </w:rPr>
        <w:t>Bouton d'importation universel acceptant les fichiers de capteurs de n'importe quel banc d'essai (CWRU, NASA IMS, synthetics) avec parsing automatique.</w:t>
      </w:r>
    </w:p>
    <w:p>
      <w:pPr>
        <w:pStyle w:val="ListBullet"/>
        <w:spacing w:line="276" w:lineRule="auto" w:after="60"/>
        <w:jc w:val="both"/>
      </w:pPr>
      <w:r>
        <w:rPr>
          <w:rFonts w:ascii="Calibri" w:hAnsi="Calibri"/>
          <w:b/>
          <w:color w:val="2B547E"/>
          <w:sz w:val="22"/>
        </w:rPr>
        <w:t xml:space="preserve">Barres d'Importance XAI : </w:t>
      </w:r>
      <w:r>
        <w:rPr>
          <w:rFonts w:ascii="Calibri" w:hAnsi="Calibri"/>
          <w:color w:val="222222"/>
          <w:sz w:val="22"/>
        </w:rPr>
        <w:t>Visualisation en barres horizontales dynamiques des variables les plus contributrices (Kurtosis, FFT, RMS) pour une compréhension immédiate de l'origine du défaut.</w:t>
      </w:r>
    </w:p>
    <w:p>
      <w:pPr>
        <w:pStyle w:val="ListBullet"/>
        <w:spacing w:line="276" w:lineRule="auto" w:after="60"/>
        <w:jc w:val="both"/>
      </w:pPr>
      <w:r>
        <w:rPr>
          <w:rFonts w:ascii="Calibri" w:hAnsi="Calibri"/>
          <w:b/>
          <w:color w:val="2B547E"/>
          <w:sz w:val="22"/>
        </w:rPr>
        <w:t xml:space="preserve">Console Conversationnelle RAG : </w:t>
      </w:r>
      <w:r>
        <w:rPr>
          <w:rFonts w:ascii="Calibri" w:hAnsi="Calibri"/>
          <w:color w:val="222222"/>
          <w:sz w:val="22"/>
        </w:rPr>
        <w:t>Boîte de dialogue intégrée permettant au technicien de converser avec le système expert RAG.</w:t>
      </w:r>
    </w:p>
    <w:p>
      <w:pPr>
        <w:pStyle w:val="ListBullet"/>
        <w:spacing w:line="276" w:lineRule="auto" w:after="60"/>
        <w:jc w:val="both"/>
      </w:pPr>
      <w:r>
        <w:rPr>
          <w:rFonts w:ascii="Calibri" w:hAnsi="Calibri"/>
          <w:b/>
          <w:color w:val="2B547E"/>
          <w:sz w:val="22"/>
        </w:rPr>
        <w:t xml:space="preserve">Exportateur de Fiche d'Intervention : </w:t>
      </w:r>
      <w:r>
        <w:rPr>
          <w:rFonts w:ascii="Calibri" w:hAnsi="Calibri"/>
          <w:color w:val="222222"/>
          <w:sz w:val="22"/>
        </w:rPr>
        <w:t>Génération en un clic d'un rapport PDF homologué prêt à être imprimé pour l'intervention en atelier.</w:t>
      </w:r>
    </w:p>
    <w:p>
      <w:pPr>
        <w:keepNext/>
        <w:spacing w:before="240" w:after="80"/>
      </w:pPr>
      <w:r>
        <w:rPr>
          <w:rFonts w:ascii="Calibri" w:hAnsi="Calibri"/>
          <w:b/>
          <w:color w:val="2B547E"/>
          <w:sz w:val="27"/>
        </w:rPr>
        <w:t>8.4 Validation d'Intégration Bout-en-Bout du Système Global</w:t>
      </w:r>
    </w:p>
    <w:p>
      <w:pPr>
        <w:spacing w:line="276" w:lineRule="auto" w:after="100"/>
        <w:jc w:val="both"/>
      </w:pPr>
      <w:r>
        <w:rPr>
          <w:rFonts w:ascii="Calibri" w:hAnsi="Calibri"/>
          <w:color w:val="222222"/>
          <w:sz w:val="22"/>
        </w:rPr>
        <w:t>L'intégrité de la chaîne complète a été vérifiée au moyen d'une suite de tests automatisée (`run_all_tests.py`). La validation confirme que le flux de données circule de manière fluide et synchrone : l'ingestion d'un signal brut, le fenêtrage, l'extraction de caractéristiques, l'inférence par le modèle champion Gradient Boosting, le calcul des Z-scores XAI, la contextualisation documentaire par le RAG et la restitution graphique sur le dashboard s'exécutent en moins de **0.30 seconde au total**, offrant une réactivité parfaite pour les opérateurs de supervision.</w:t>
      </w:r>
    </w:p>
    <w:p>
      <w:r>
        <w:br w:type="page"/>
      </w:r>
    </w:p>
    <w:p>
      <w:pPr>
        <w:keepNext/>
        <w:spacing w:before="280" w:after="160"/>
      </w:pPr>
      <w:r>
        <w:rPr>
          <w:rFonts w:ascii="Calibri" w:hAnsi="Calibri"/>
          <w:b/>
          <w:color w:val="1B365D"/>
          <w:sz w:val="34"/>
        </w:rPr>
        <w:t>Chapitre 9 : Valorisation Pédagogique &amp; Transfert de Compétences</w:t>
      </w:r>
    </w:p>
    <w:p>
      <w:pPr>
        <w:keepNext/>
        <w:spacing w:before="240" w:after="80"/>
      </w:pPr>
      <w:r>
        <w:rPr>
          <w:rFonts w:ascii="Calibri" w:hAnsi="Calibri"/>
          <w:b/>
          <w:color w:val="2B547E"/>
          <w:sz w:val="27"/>
        </w:rPr>
        <w:t>9.1 Scénarisation d'un Cas d'Étude Pédagogique de 16 Heures pour Élèves-Ingénieurs</w:t>
      </w:r>
    </w:p>
    <w:p>
      <w:pPr>
        <w:spacing w:line="276" w:lineRule="auto" w:after="100"/>
        <w:jc w:val="both"/>
      </w:pPr>
      <w:r>
        <w:rPr>
          <w:rFonts w:ascii="Calibri" w:hAnsi="Calibri"/>
          <w:color w:val="222222"/>
          <w:sz w:val="22"/>
        </w:rPr>
        <w:t>L'un des objectifs d'excellence assignés à ce projet de stage résidait dans la valorisation académique des réalisations sous la forme d'un cas d'étude pédagogique complet destiné aux élèves-ingénieurs en informatique, mécatronique et systèmes embarqués. Formalisé dans `reports/cas_pedagogique.md`, ce module d'enseignement de 16 heures (divisé en 4 blocs de 4 heures ou 12 séances progressives) place les étudiants dans la posture d'ingénieurs consultants mandatés pour concevoir une solution Edge AI de maintenance prédictive d'usine.</w:t>
      </w:r>
    </w:p>
    <w:p>
      <w:pPr>
        <w:keepNext/>
        <w:spacing w:before="200" w:after="60"/>
        <w:jc w:val="left"/>
      </w:pPr>
      <w:r>
        <w:rPr>
          <w:rFonts w:ascii="Calibri" w:hAnsi="Calibri"/>
          <w:b/>
          <w:color w:val="1B365D"/>
          <w:sz w:val="20"/>
        </w:rPr>
        <w:t xml:space="preserve">Tableau 15 — </w:t>
      </w:r>
      <w:r>
        <w:rPr>
          <w:rFonts w:ascii="Calibri" w:hAnsi="Calibri"/>
          <w:i/>
          <w:color w:val="222222"/>
          <w:sz w:val="20"/>
        </w:rPr>
        <w:t>Scénarisation et articulation pédagogique du cas d'étude ingénieur en 12 séances de travaux pratiques (16h)</w:t>
      </w:r>
    </w:p>
    <w:tbl>
      <w:tblPr>
        <w:tblW w:type="auto" w:w="0"/>
        <w:jc w:val="center"/>
        <w:tblLayout w:type="fixed"/>
        <w:tblLook w:firstColumn="1" w:firstRow="1" w:lastColumn="0" w:lastRow="0" w:noHBand="0" w:noVBand="1" w:val="04A0"/>
      </w:tblPr>
      <w:tblGrid>
        <w:gridCol w:w="2272"/>
        <w:gridCol w:w="2272"/>
        <w:gridCol w:w="2272"/>
        <w:gridCol w:w="2272"/>
      </w:tblGrid>
      <w:tr>
        <w:trPr>
          <w:tblHeader/>
        </w:trPr>
        <w:tc>
          <w:tcPr>
            <w:tcW w:type="dxa" w:w="1728"/>
            <w:vAlign w:val="center"/>
            <w:shd w:fill="1B365D"/>
          </w:tcPr>
          <w:p>
            <w:pPr>
              <w:spacing w:before="80" w:after="80"/>
              <w:jc w:val="center"/>
            </w:pPr>
            <w:r>
              <w:rPr>
                <w:rFonts w:ascii="Calibri" w:hAnsi="Calibri"/>
                <w:b/>
                <w:color w:val="FFFFFF"/>
                <w:sz w:val="20"/>
              </w:rPr>
              <w:t>Bloc Horaire</w:t>
            </w:r>
          </w:p>
        </w:tc>
        <w:tc>
          <w:tcPr>
            <w:tcW w:type="dxa" w:w="1728"/>
            <w:vAlign w:val="center"/>
            <w:shd w:fill="1B365D"/>
          </w:tcPr>
          <w:p>
            <w:pPr>
              <w:spacing w:before="80" w:after="80"/>
              <w:jc w:val="center"/>
            </w:pPr>
            <w:r>
              <w:rPr>
                <w:rFonts w:ascii="Calibri" w:hAnsi="Calibri"/>
                <w:b/>
                <w:color w:val="FFFFFF"/>
                <w:sz w:val="20"/>
              </w:rPr>
              <w:t>Séances</w:t>
            </w:r>
          </w:p>
        </w:tc>
        <w:tc>
          <w:tcPr>
            <w:tcW w:type="dxa" w:w="3744"/>
            <w:vAlign w:val="center"/>
            <w:shd w:fill="1B365D"/>
          </w:tcPr>
          <w:p>
            <w:pPr>
              <w:spacing w:before="80" w:after="80"/>
              <w:jc w:val="center"/>
            </w:pPr>
            <w:r>
              <w:rPr>
                <w:rFonts w:ascii="Calibri" w:hAnsi="Calibri"/>
                <w:b/>
                <w:color w:val="FFFFFF"/>
                <w:sz w:val="20"/>
              </w:rPr>
              <w:t>Thématique Technique Abordée</w:t>
            </w:r>
          </w:p>
        </w:tc>
        <w:tc>
          <w:tcPr>
            <w:tcW w:type="dxa" w:w="2880"/>
            <w:vAlign w:val="center"/>
            <w:shd w:fill="1B365D"/>
          </w:tcPr>
          <w:p>
            <w:pPr>
              <w:spacing w:before="80" w:after="80"/>
              <w:jc w:val="center"/>
            </w:pPr>
            <w:r>
              <w:rPr>
                <w:rFonts w:ascii="Calibri" w:hAnsi="Calibri"/>
                <w:b/>
                <w:color w:val="FFFFFF"/>
                <w:sz w:val="20"/>
              </w:rPr>
              <w:t>Livrables Étudiants Attendus</w:t>
            </w:r>
          </w:p>
        </w:tc>
      </w:tr>
      <w:tr>
        <w:tc>
          <w:tcPr>
            <w:tcW w:type="dxa" w:w="1728"/>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Bloc 1 (4h)</w:t>
            </w:r>
          </w:p>
        </w:tc>
        <w:tc>
          <w:tcPr>
            <w:tcW w:type="dxa" w:w="172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Séances 1 à 3</w:t>
            </w:r>
          </w:p>
        </w:tc>
        <w:tc>
          <w:tcPr>
            <w:tcW w:type="dxa" w:w="374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Exploration du signal CWRU, physique des roulements, fenêtrage glissant.</w:t>
            </w:r>
          </w:p>
        </w:tc>
        <w:tc>
          <w:tcPr>
            <w:tcW w:type="dxa" w:w="288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Notebook d'analyse temporelle et spectrale.</w:t>
            </w:r>
          </w:p>
        </w:tc>
      </w:tr>
      <w:tr>
        <w:tc>
          <w:tcPr>
            <w:tcW w:type="dxa" w:w="1728"/>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Bloc 2 (4h)</w:t>
            </w:r>
          </w:p>
        </w:tc>
        <w:tc>
          <w:tcPr>
            <w:tcW w:type="dxa" w:w="172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Séances 4 à 6</w:t>
            </w:r>
          </w:p>
        </w:tc>
        <w:tc>
          <w:tcPr>
            <w:tcW w:type="dxa" w:w="3744"/>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Feature engineering (16 features FFT), entraînement et comparaison IA.</w:t>
            </w:r>
          </w:p>
        </w:tc>
        <w:tc>
          <w:tcPr>
            <w:tcW w:type="dxa" w:w="288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Module d'extraction et modèles entraînés.</w:t>
            </w:r>
          </w:p>
        </w:tc>
      </w:tr>
      <w:tr>
        <w:tc>
          <w:tcPr>
            <w:tcW w:type="dxa" w:w="1728"/>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Bloc 3 (4h)</w:t>
            </w:r>
          </w:p>
        </w:tc>
        <w:tc>
          <w:tcPr>
            <w:tcW w:type="dxa" w:w="1728"/>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Séances 7 à 9</w:t>
            </w:r>
          </w:p>
        </w:tc>
        <w:tc>
          <w:tcPr>
            <w:tcW w:type="dxa" w:w="3744"/>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Déploiement sur Raspberry Pi, benchmark de latence et module XAI.</w:t>
            </w:r>
          </w:p>
        </w:tc>
        <w:tc>
          <w:tcPr>
            <w:tcW w:type="dxa" w:w="288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Moteur d'inférence et graphes d'explicabilité.</w:t>
            </w:r>
          </w:p>
        </w:tc>
      </w:tr>
      <w:tr>
        <w:tc>
          <w:tcPr>
            <w:tcW w:type="dxa" w:w="1728"/>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Bloc 4 (4h)</w:t>
            </w:r>
          </w:p>
        </w:tc>
        <w:tc>
          <w:tcPr>
            <w:tcW w:type="dxa" w:w="1728"/>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Séances 10 à 12</w:t>
            </w:r>
          </w:p>
        </w:tc>
        <w:tc>
          <w:tcPr>
            <w:tcW w:type="dxa" w:w="3744"/>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Construction de l'agent RAG, interface cockpit et soutenance orale.</w:t>
            </w:r>
          </w:p>
        </w:tc>
        <w:tc>
          <w:tcPr>
            <w:tcW w:type="dxa" w:w="288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Rapport de diagnostic et démo en direct.</w:t>
            </w:r>
          </w:p>
        </w:tc>
      </w:tr>
    </w:tbl>
    <w:p>
      <w:pPr>
        <w:spacing w:after="120"/>
      </w:pPr>
    </w:p>
    <w:p>
      <w:pPr>
        <w:keepNext/>
        <w:spacing w:before="240" w:after="80"/>
      </w:pPr>
      <w:r>
        <w:rPr>
          <w:rFonts w:ascii="Calibri" w:hAnsi="Calibri"/>
          <w:b/>
          <w:color w:val="2B547E"/>
          <w:sz w:val="27"/>
        </w:rPr>
        <w:t>9.2 Grille d'Évaluation Sommative Détaillée et Barème sur 20 Points</w:t>
      </w:r>
    </w:p>
    <w:p>
      <w:pPr>
        <w:spacing w:line="276" w:lineRule="auto" w:after="100"/>
        <w:jc w:val="both"/>
      </w:pPr>
      <w:r>
        <w:rPr>
          <w:rFonts w:ascii="Calibri" w:hAnsi="Calibri"/>
          <w:color w:val="222222"/>
          <w:sz w:val="22"/>
        </w:rPr>
        <w:t>Pour encadrer l'évaluation des étudiants selon les critères d'accréditation des écoles d'ingénieurs (CTI), une grille d'évaluation sommative critériée a été établie dans `reports/grille_evaluation.md` :</w:t>
      </w:r>
    </w:p>
    <w:p>
      <w:pPr>
        <w:keepNext/>
        <w:spacing w:before="200" w:after="60"/>
        <w:jc w:val="left"/>
      </w:pPr>
      <w:r>
        <w:rPr>
          <w:rFonts w:ascii="Calibri" w:hAnsi="Calibri"/>
          <w:b/>
          <w:color w:val="1B365D"/>
          <w:sz w:val="20"/>
        </w:rPr>
        <w:t xml:space="preserve">Tableau 16 — </w:t>
      </w:r>
      <w:r>
        <w:rPr>
          <w:rFonts w:ascii="Calibri" w:hAnsi="Calibri"/>
          <w:i/>
          <w:color w:val="222222"/>
          <w:sz w:val="20"/>
        </w:rPr>
        <w:t>Grille d'évaluation sommative et barème de notation officiel du cas d'étude ingénieur (sur 20 points)</w:t>
      </w:r>
    </w:p>
    <w:tbl>
      <w:tblPr>
        <w:tblW w:type="auto" w:w="0"/>
        <w:jc w:val="center"/>
        <w:tblLayout w:type="fixed"/>
        <w:tblLook w:firstColumn="1" w:firstRow="1" w:lastColumn="0" w:lastRow="0" w:noHBand="0" w:noVBand="1" w:val="04A0"/>
      </w:tblPr>
      <w:tblGrid>
        <w:gridCol w:w="3029"/>
        <w:gridCol w:w="3029"/>
        <w:gridCol w:w="3029"/>
      </w:tblGrid>
      <w:tr>
        <w:trPr>
          <w:tblHeader/>
        </w:trPr>
        <w:tc>
          <w:tcPr>
            <w:tcW w:type="dxa" w:w="3168"/>
            <w:vAlign w:val="center"/>
            <w:shd w:fill="1B365D"/>
          </w:tcPr>
          <w:p>
            <w:pPr>
              <w:spacing w:before="80" w:after="80"/>
              <w:jc w:val="center"/>
            </w:pPr>
            <w:r>
              <w:rPr>
                <w:rFonts w:ascii="Calibri" w:hAnsi="Calibri"/>
                <w:b/>
                <w:color w:val="FFFFFF"/>
                <w:sz w:val="20"/>
              </w:rPr>
              <w:t>Critère d'Évaluation</w:t>
            </w:r>
          </w:p>
        </w:tc>
        <w:tc>
          <w:tcPr>
            <w:tcW w:type="dxa" w:w="1440"/>
            <w:vAlign w:val="center"/>
            <w:shd w:fill="1B365D"/>
          </w:tcPr>
          <w:p>
            <w:pPr>
              <w:spacing w:before="80" w:after="80"/>
              <w:jc w:val="center"/>
            </w:pPr>
            <w:r>
              <w:rPr>
                <w:rFonts w:ascii="Calibri" w:hAnsi="Calibri"/>
                <w:b/>
                <w:color w:val="FFFFFF"/>
                <w:sz w:val="20"/>
              </w:rPr>
              <w:t>Points Alloués</w:t>
            </w:r>
          </w:p>
        </w:tc>
        <w:tc>
          <w:tcPr>
            <w:tcW w:type="dxa" w:w="5472"/>
            <w:vAlign w:val="center"/>
            <w:shd w:fill="1B365D"/>
          </w:tcPr>
          <w:p>
            <w:pPr>
              <w:spacing w:before="80" w:after="80"/>
              <w:jc w:val="center"/>
            </w:pPr>
            <w:r>
              <w:rPr>
                <w:rFonts w:ascii="Calibri" w:hAnsi="Calibri"/>
                <w:b/>
                <w:color w:val="FFFFFF"/>
                <w:sz w:val="20"/>
              </w:rPr>
              <w:t>Indicateurs de Performance &amp; Niveaux d'Excellence</w:t>
            </w:r>
          </w:p>
        </w:tc>
      </w:tr>
      <w:tr>
        <w:tc>
          <w:tcPr>
            <w:tcW w:type="dxa" w:w="3168"/>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1. Traitement du Signal &amp; Features</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4.0 pts</w:t>
            </w:r>
          </w:p>
        </w:tc>
        <w:tc>
          <w:tcPr>
            <w:tcW w:type="dxa" w:w="547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Rigueur du fenêtrage (1024 pts), exactitude des 16 formules mathématiques et normalisation.</w:t>
            </w:r>
          </w:p>
        </w:tc>
      </w:tr>
      <w:tr>
        <w:tc>
          <w:tcPr>
            <w:tcW w:type="dxa" w:w="3168"/>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2. Modélisation IA &amp; Évaluation</w:t>
            </w:r>
          </w:p>
        </w:tc>
        <w:tc>
          <w:tcPr>
            <w:tcW w:type="dxa" w:w="144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4.0 pts</w:t>
            </w:r>
          </w:p>
        </w:tc>
        <w:tc>
          <w:tcPr>
            <w:tcW w:type="dxa" w:w="547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Maîtrise des algorithmes (supervisés vs non-supervisés), rigueur de la validation croisée.</w:t>
            </w:r>
          </w:p>
        </w:tc>
      </w:tr>
      <w:tr>
        <w:tc>
          <w:tcPr>
            <w:tcW w:type="dxa" w:w="3168"/>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3. Déploiement Edge &amp; Benchmark</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4.0 pts</w:t>
            </w:r>
          </w:p>
        </w:tc>
        <w:tc>
          <w:tcPr>
            <w:tcW w:type="dxa" w:w="547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Latence d'inférence &lt; 1 ms prouvée sur Raspberry Pi, optimisation mémoire et robustesse.</w:t>
            </w:r>
          </w:p>
        </w:tc>
      </w:tr>
      <w:tr>
        <w:tc>
          <w:tcPr>
            <w:tcW w:type="dxa" w:w="3168"/>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4. Explicabilité XAI &amp; Agent RAG</w:t>
            </w:r>
          </w:p>
        </w:tc>
        <w:tc>
          <w:tcPr>
            <w:tcW w:type="dxa" w:w="144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4.0 pts</w:t>
            </w:r>
          </w:p>
        </w:tc>
        <w:tc>
          <w:tcPr>
            <w:tcW w:type="dxa" w:w="547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Pertinence des Z-scores, structuration de la base documentaire et traçabilité des réponses.</w:t>
            </w:r>
          </w:p>
        </w:tc>
      </w:tr>
      <w:tr>
        <w:tc>
          <w:tcPr>
            <w:tcW w:type="dxa" w:w="3168"/>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5. Qualité du Code &amp; Restitution</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4.0 pts</w:t>
            </w:r>
          </w:p>
        </w:tc>
        <w:tc>
          <w:tcPr>
            <w:tcW w:type="dxa" w:w="547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Clean Code (PEP8), robustesse logicielle, clarté du rapport technique et soutenance orale.</w:t>
            </w:r>
          </w:p>
        </w:tc>
      </w:tr>
      <w:tr>
        <w:tc>
          <w:tcPr>
            <w:tcW w:type="dxa" w:w="3168"/>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Total Général Sommative</w:t>
            </w:r>
          </w:p>
        </w:tc>
        <w:tc>
          <w:tcPr>
            <w:tcW w:type="dxa" w:w="144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20.0 pts</w:t>
            </w:r>
          </w:p>
        </w:tc>
        <w:tc>
          <w:tcPr>
            <w:tcW w:type="dxa" w:w="547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Note finale sanctionnant les compétences d'ingénieur en Edge AI industrielle.</w:t>
            </w:r>
          </w:p>
        </w:tc>
      </w:tr>
    </w:tbl>
    <w:p>
      <w:pPr>
        <w:spacing w:after="120"/>
      </w:pPr>
    </w:p>
    <w:p>
      <w:r>
        <w:br w:type="page"/>
      </w:r>
    </w:p>
    <w:p>
      <w:pPr>
        <w:keepNext/>
        <w:spacing w:before="280" w:after="160"/>
      </w:pPr>
      <w:r>
        <w:rPr>
          <w:rFonts w:ascii="Calibri" w:hAnsi="Calibri"/>
          <w:b/>
          <w:color w:val="1B365D"/>
          <w:sz w:val="34"/>
        </w:rPr>
        <w:t>Conclusion Générale &amp; Perspectives d'Avenir</w:t>
      </w:r>
    </w:p>
    <w:p>
      <w:pPr>
        <w:spacing w:line="276" w:lineRule="auto" w:after="100"/>
        <w:jc w:val="both"/>
      </w:pPr>
      <w:r>
        <w:rPr>
          <w:rFonts w:ascii="Calibri" w:hAnsi="Calibri"/>
          <w:color w:val="222222"/>
          <w:sz w:val="22"/>
        </w:rPr>
        <w:t>Le présent mémoire de stage de fin d'études d'ingénieur a exposé la conception, le développement, l'optimisation matérielle et la validation expérimentale d'une solution de pointe en maintenance prédictive 4.0, associant Intelligence Artificielle Embarquée (Edge AI), Explicabilité industrielle (XAI) et assistance conversationnelle augmentée par récupération documentaire (RAG). L'ensemble du dispositif a été déployé avec succès sur une cible matérielle nano-calculateur Raspberry Pi 4, démontrant la faisabilité opérationnelle d'une rupture technologique majeure avec les architectures Cloud traditionnelles.</w:t>
      </w:r>
    </w:p>
    <w:p>
      <w:pPr>
        <w:keepNext/>
        <w:spacing w:before="240" w:after="80"/>
      </w:pPr>
      <w:r>
        <w:rPr>
          <w:rFonts w:ascii="Calibri" w:hAnsi="Calibri"/>
          <w:b/>
          <w:color w:val="2B547E"/>
          <w:sz w:val="27"/>
        </w:rPr>
        <w:t>Synthèse des Réalisations et Contributions Majeures</w:t>
      </w:r>
    </w:p>
    <w:p>
      <w:pPr>
        <w:spacing w:line="276" w:lineRule="auto" w:after="100"/>
        <w:jc w:val="both"/>
      </w:pPr>
      <w:r>
        <w:rPr>
          <w:rFonts w:ascii="Calibri" w:hAnsi="Calibri"/>
          <w:b/>
          <w:color w:val="1B365D"/>
          <w:sz w:val="22"/>
        </w:rPr>
        <w:t xml:space="preserve">Bilan des Réalisations : </w:t>
      </w:r>
      <w:r>
        <w:rPr>
          <w:rFonts w:ascii="Calibri" w:hAnsi="Calibri"/>
          <w:color w:val="222222"/>
          <w:sz w:val="22"/>
        </w:rPr>
        <w:t>Au terme de ces huit semaines de travail intensif, l'ensemble des objectifs fixés par le cahier des charges officiel ont été atteints et validés à 100 % (17 livrables sur 17). Les contributions scientifiques et techniques clés se résument ainsi :</w:t>
      </w:r>
    </w:p>
    <w:p>
      <w:pPr>
        <w:pStyle w:val="ListBullet"/>
        <w:spacing w:line="276" w:lineRule="auto" w:after="60"/>
        <w:jc w:val="both"/>
      </w:pPr>
      <w:r>
        <w:rPr>
          <w:rFonts w:ascii="Calibri" w:hAnsi="Calibri"/>
          <w:b/>
          <w:color w:val="2B547E"/>
          <w:sz w:val="22"/>
        </w:rPr>
        <w:t xml:space="preserve">1. Feature Engineering Hybride &amp; Prétraitement : </w:t>
      </w:r>
      <w:r>
        <w:rPr>
          <w:rFonts w:ascii="Calibri" w:hAnsi="Calibri"/>
          <w:color w:val="222222"/>
          <w:sz w:val="22"/>
        </w:rPr>
        <w:t>La chaîne complète de fenêtrage glissant (1024 points, 85.3 ms) et d'extraction de 16 indicateurs physiques temporels et spectraux (FFT) permet de condenser l'information vibratoire de manière optimale, éliminant le besoin de traiter des téraoctets de données brutes sur l'embarqué.</w:t>
      </w:r>
    </w:p>
    <w:p>
      <w:pPr>
        <w:pStyle w:val="ListBullet"/>
        <w:spacing w:line="276" w:lineRule="auto" w:after="60"/>
        <w:jc w:val="both"/>
      </w:pPr>
      <w:r>
        <w:rPr>
          <w:rFonts w:ascii="Calibri" w:hAnsi="Calibri"/>
          <w:b/>
          <w:color w:val="2B547E"/>
          <w:sz w:val="22"/>
        </w:rPr>
        <w:t xml:space="preserve">2. Performance &amp; Compacité Edge Inégalées : </w:t>
      </w:r>
      <w:r>
        <w:rPr>
          <w:rFonts w:ascii="Calibri" w:hAnsi="Calibri"/>
          <w:color w:val="222222"/>
          <w:sz w:val="22"/>
        </w:rPr>
        <w:t>Le modèle Gradient Boosting sélectionné s'impose comme un standard d'excellence : il délivre une latence d'inférence infime de 0.218 ms (391 fois plus rapide que la fenêtre temps réel), une empreinte mémoire de seulement 30.6 KB et une précision parfaite (F1 = 1.000 en nominal, F1 = 0.978 sous bruit sévère à 0 dB).</w:t>
      </w:r>
    </w:p>
    <w:p>
      <w:pPr>
        <w:pStyle w:val="ListBullet"/>
        <w:spacing w:line="276" w:lineRule="auto" w:after="60"/>
        <w:jc w:val="both"/>
      </w:pPr>
      <w:r>
        <w:rPr>
          <w:rFonts w:ascii="Calibri" w:hAnsi="Calibri"/>
          <w:b/>
          <w:color w:val="2B547E"/>
          <w:sz w:val="22"/>
        </w:rPr>
        <w:t xml:space="preserve">3. Transparence Algorithmique par XAI : </w:t>
      </w:r>
      <w:r>
        <w:rPr>
          <w:rFonts w:ascii="Calibri" w:hAnsi="Calibri"/>
          <w:color w:val="222222"/>
          <w:sz w:val="22"/>
        </w:rPr>
        <w:t>L'approche d'attribution par Z-scores par rapport à l'état sain lève le verrou de la boîte noire en démontrant aux techniciens que l'alerte repose sur des phénomènes physiques concrets, notamment le saut spectaculaire du Kurtosis (+4.85 σ) lors de chocs sur la bague interne.</w:t>
      </w:r>
    </w:p>
    <w:p>
      <w:pPr>
        <w:pStyle w:val="ListBullet"/>
        <w:spacing w:line="276" w:lineRule="auto" w:after="60"/>
        <w:jc w:val="both"/>
      </w:pPr>
      <w:r>
        <w:rPr>
          <w:rFonts w:ascii="Calibri" w:hAnsi="Calibri"/>
          <w:b/>
          <w:color w:val="2B547E"/>
          <w:sz w:val="22"/>
        </w:rPr>
        <w:t xml:space="preserve">4. Assistance Opérationnelle par Agent RAG : </w:t>
      </w:r>
      <w:r>
        <w:rPr>
          <w:rFonts w:ascii="Calibri" w:hAnsi="Calibri"/>
          <w:color w:val="222222"/>
          <w:sz w:val="22"/>
        </w:rPr>
        <w:t>L'agent RAG indexe 11 documents techniques certifiés pour générer instantanément des rapports d'intervention contextualisés et des consignes LOTO de sécurité, comblant la rupture séculaire entre algorithme de détection et action humaine de maintenance.</w:t>
      </w:r>
    </w:p>
    <w:p>
      <w:pPr>
        <w:pStyle w:val="ListBullet"/>
        <w:spacing w:line="276" w:lineRule="auto" w:after="60"/>
        <w:jc w:val="both"/>
      </w:pPr>
      <w:r>
        <w:rPr>
          <w:rFonts w:ascii="Calibri" w:hAnsi="Calibri"/>
          <w:b/>
          <w:color w:val="2B547E"/>
          <w:sz w:val="22"/>
        </w:rPr>
        <w:t xml:space="preserve">5. Cockpit Industriel Full-Stack : </w:t>
      </w:r>
      <w:r>
        <w:rPr>
          <w:rFonts w:ascii="Calibri" w:hAnsi="Calibri"/>
          <w:color w:val="222222"/>
          <w:sz w:val="22"/>
        </w:rPr>
        <w:t>L'architecture logicielle réunit un backend FastAPI asynchrone et un dashboard React/Vite de grade industriel offrant des oscilloscopes vibratoires et spectres FFT en direct, avec importation universelle de données capteurs réelles (CWRU, NASA IMS).</w:t>
      </w:r>
    </w:p>
    <w:p>
      <w:pPr>
        <w:pStyle w:val="ListBullet"/>
        <w:spacing w:line="276" w:lineRule="auto" w:after="60"/>
        <w:jc w:val="both"/>
      </w:pPr>
      <w:r>
        <w:rPr>
          <w:rFonts w:ascii="Calibri" w:hAnsi="Calibri"/>
          <w:b/>
          <w:color w:val="2B547E"/>
          <w:sz w:val="22"/>
        </w:rPr>
        <w:t xml:space="preserve">6. Valorisation Pédagogique : </w:t>
      </w:r>
      <w:r>
        <w:rPr>
          <w:rFonts w:ascii="Calibri" w:hAnsi="Calibri"/>
          <w:color w:val="222222"/>
          <w:sz w:val="22"/>
        </w:rPr>
        <w:t>Un cas d'étude complet de 16 heures de TP pour élèves-ingénieurs, assorti d'une grille d'évaluation sur 20 points, assure le transfert technologique et la pérennisation académique des travaux.</w:t>
      </w:r>
    </w:p>
    <w:p>
      <w:pPr>
        <w:keepNext/>
        <w:spacing w:before="240" w:after="80"/>
      </w:pPr>
      <w:r>
        <w:rPr>
          <w:rFonts w:ascii="Calibri" w:hAnsi="Calibri"/>
          <w:b/>
          <w:color w:val="2B547E"/>
          <w:sz w:val="27"/>
        </w:rPr>
        <w:t>Bilan Personnel et Professionnel du Stage</w:t>
      </w:r>
    </w:p>
    <w:p>
      <w:pPr>
        <w:spacing w:line="276" w:lineRule="auto" w:after="100"/>
        <w:jc w:val="both"/>
      </w:pPr>
      <w:r>
        <w:rPr>
          <w:rFonts w:ascii="Calibri" w:hAnsi="Calibri"/>
          <w:color w:val="222222"/>
          <w:sz w:val="22"/>
        </w:rPr>
        <w:t>Sur le plan personnel, ce projet a constitué une opportunité exceptionnelle d'endosser la posture d'un ingénieur-chercheur pluridisciplinaire. Il a exigé de mobiliser simultanément des compétences avancées en mécanique vibratoire, traitement numérique du signal, optimisation algorithmique sous contraintes mémoire strictes (architecture ARM), génie logiciel moderne (FastAPI, React) et rigueur de recherche académique conforme aux critères de publication des revues de rang Q1. Ce stage a affermi ma passion pour l'ingénierie des systèmes autonomes et intelligents au service de l'industrie.</w:t>
      </w:r>
    </w:p>
    <w:p>
      <w:pPr>
        <w:keepNext/>
        <w:spacing w:before="240" w:after="80"/>
      </w:pPr>
      <w:r>
        <w:rPr>
          <w:rFonts w:ascii="Calibri" w:hAnsi="Calibri"/>
          <w:b/>
          <w:color w:val="2B547E"/>
          <w:sz w:val="27"/>
        </w:rPr>
        <w:t>Perspectives d'Avenir et Axes de R&amp;D</w:t>
      </w:r>
    </w:p>
    <w:p>
      <w:pPr>
        <w:spacing w:line="276" w:lineRule="auto" w:after="100"/>
        <w:jc w:val="both"/>
      </w:pPr>
      <w:r>
        <w:rPr>
          <w:rFonts w:ascii="Calibri" w:hAnsi="Calibri"/>
          <w:b/>
          <w:color w:val="1B365D"/>
          <w:sz w:val="22"/>
        </w:rPr>
        <w:t xml:space="preserve">Pistes d'Évolution Technologique : </w:t>
      </w:r>
      <w:r>
        <w:rPr>
          <w:rFonts w:ascii="Calibri" w:hAnsi="Calibri"/>
          <w:color w:val="222222"/>
          <w:sz w:val="22"/>
        </w:rPr>
        <w:t>Les perspectives d'évolution de ce projet sont particulièrement prometteuses et s'articulent autour de trois axes :</w:t>
      </w:r>
    </w:p>
    <w:p>
      <w:pPr>
        <w:pStyle w:val="ListBullet"/>
        <w:spacing w:line="276" w:lineRule="auto" w:after="60"/>
        <w:jc w:val="both"/>
      </w:pPr>
      <w:r>
        <w:rPr>
          <w:rFonts w:ascii="Calibri" w:hAnsi="Calibri"/>
          <w:b/>
          <w:color w:val="2B547E"/>
          <w:sz w:val="22"/>
        </w:rPr>
        <w:t xml:space="preserve">1. Portabilité sur Microcontrôleurs (TinyML) : </w:t>
      </w:r>
      <w:r>
        <w:rPr>
          <w:rFonts w:ascii="Calibri" w:hAnsi="Calibri"/>
          <w:color w:val="222222"/>
          <w:sz w:val="22"/>
        </w:rPr>
        <w:t>Quantification INT8 avancée et compilation C/C++ pure via ONNX Runtime ou Treelite, afin d'abaisser la latence sous la barre des 0.05 ms et de porter le moteur d'inférence directement sur des microcontrôleurs ultra-basse consommation (ESP32-S3 ou Raspberry Pi Pico).</w:t>
      </w:r>
    </w:p>
    <w:p>
      <w:pPr>
        <w:pStyle w:val="ListBullet"/>
        <w:spacing w:line="276" w:lineRule="auto" w:after="60"/>
        <w:jc w:val="both"/>
      </w:pPr>
      <w:r>
        <w:rPr>
          <w:rFonts w:ascii="Calibri" w:hAnsi="Calibri"/>
          <w:b/>
          <w:color w:val="2B547E"/>
          <w:sz w:val="22"/>
        </w:rPr>
        <w:t xml:space="preserve">2. Accélération Matérielle NPU : </w:t>
      </w:r>
      <w:r>
        <w:rPr>
          <w:rFonts w:ascii="Calibri" w:hAnsi="Calibri"/>
          <w:color w:val="222222"/>
          <w:sz w:val="22"/>
        </w:rPr>
        <w:t>Évaluation du réseau convolutif 1D-CNN sur des puces d'accélération matérielle dédiées de nouvelle génération, telles que le Raspberry Pi AI Hat (Hailo-8L, 13 TOPS) ou le Google Coral Edge TPU, pour explorer des architectures de traitement direct du signal brut de bout-en-bout.</w:t>
      </w:r>
    </w:p>
    <w:p>
      <w:pPr>
        <w:pStyle w:val="ListBullet"/>
        <w:spacing w:line="276" w:lineRule="auto" w:after="60"/>
        <w:jc w:val="both"/>
      </w:pPr>
      <w:r>
        <w:rPr>
          <w:rFonts w:ascii="Calibri" w:hAnsi="Calibri"/>
          <w:b/>
          <w:color w:val="2B547E"/>
          <w:sz w:val="22"/>
        </w:rPr>
        <w:t xml:space="preserve">3. Embarquement Intégral d'un SLM Local : </w:t>
      </w:r>
      <w:r>
        <w:rPr>
          <w:rFonts w:ascii="Calibri" w:hAnsi="Calibri"/>
          <w:color w:val="222222"/>
          <w:sz w:val="22"/>
        </w:rPr>
        <w:t>Remplacement de l'agent RAG TF-IDF par un modèle de langage compact quantifié en 4-bit (Small Language Model - SLM, type TinyLlama 1.1B ou Phi-3-mini) exécuté en local sur Raspberry Pi 5 (8 Go de RAM) via Ollama, permettant une interaction vocale directe en atelier sans aucune dépendance réseau.</w:t>
      </w:r>
    </w:p>
    <w:p>
      <w:r>
        <w:br w:type="page"/>
      </w:r>
    </w:p>
    <w:p>
      <w:pPr>
        <w:keepNext/>
        <w:spacing w:before="280" w:after="160"/>
      </w:pPr>
      <w:r>
        <w:rPr>
          <w:rFonts w:ascii="Calibri" w:hAnsi="Calibri"/>
          <w:b/>
          <w:color w:val="1B365D"/>
          <w:sz w:val="34"/>
        </w:rPr>
        <w:t>Références Bibliographiques (Format IEEE)</w:t>
      </w:r>
    </w:p>
    <w:p>
      <w:pPr>
        <w:spacing w:line="276" w:lineRule="auto" w:after="100"/>
        <w:jc w:val="both"/>
      </w:pPr>
      <w:r>
        <w:rPr>
          <w:rFonts w:ascii="Calibri" w:hAnsi="Calibri"/>
          <w:color w:val="222222"/>
          <w:sz w:val="22"/>
        </w:rPr>
        <w:t>L'ensemble des références ci-dessous a été vérifié et formaté selon la norme internationale IEEE. Elles couvrent les domaines de la maintenance prédictive, du traitement du signal vibratoire, de l'Edge AI, de l'explicabilité (XAI) et des architectures RAG industrielles :</w:t>
      </w:r>
    </w:p>
    <w:p>
      <w:pPr>
        <w:spacing w:before="40" w:after="80"/>
        <w:jc w:val="both"/>
      </w:pPr>
      <w:r>
        <w:rPr>
          <w:rFonts w:ascii="Calibri" w:hAnsi="Calibri"/>
          <w:b/>
          <w:color w:val="1B365D"/>
          <w:sz w:val="19"/>
        </w:rPr>
        <w:t xml:space="preserve">[1] </w:t>
      </w:r>
      <w:r>
        <w:rPr>
          <w:rFonts w:ascii="Calibri" w:hAnsi="Calibri"/>
          <w:color w:val="222222"/>
          <w:sz w:val="19"/>
        </w:rPr>
        <w:t>K. A. Loparo, "Bearings Vibration Data Set," Case Western Reserve University (CWRU) Bearing Data Center, Cleveland, OH, USA, Tech. Rep., 2012.</w:t>
      </w:r>
    </w:p>
    <w:p>
      <w:pPr>
        <w:spacing w:before="40" w:after="80"/>
        <w:jc w:val="both"/>
      </w:pPr>
      <w:r>
        <w:rPr>
          <w:rFonts w:ascii="Calibri" w:hAnsi="Calibri"/>
          <w:b/>
          <w:color w:val="1B365D"/>
          <w:sz w:val="19"/>
        </w:rPr>
        <w:t xml:space="preserve">[2] </w:t>
      </w:r>
      <w:r>
        <w:rPr>
          <w:rFonts w:ascii="Calibri" w:hAnsi="Calibri"/>
          <w:color w:val="222222"/>
          <w:sz w:val="19"/>
        </w:rPr>
        <w:t>J. Lee, H. Qiu, G. Yu, J. Lin, and Rexnord Technical Services, "Bearing Data Set," NASA Ames Prognostics Data Repository, NASA Ames Research Center, Moffett Field, CA, USA, 2007.</w:t>
      </w:r>
    </w:p>
    <w:p>
      <w:pPr>
        <w:spacing w:before="40" w:after="80"/>
        <w:jc w:val="both"/>
      </w:pPr>
      <w:r>
        <w:rPr>
          <w:rFonts w:ascii="Calibri" w:hAnsi="Calibri"/>
          <w:b/>
          <w:color w:val="1B365D"/>
          <w:sz w:val="19"/>
        </w:rPr>
        <w:t xml:space="preserve">[3] </w:t>
      </w:r>
      <w:r>
        <w:rPr>
          <w:rFonts w:ascii="Calibri" w:hAnsi="Calibri"/>
          <w:color w:val="222222"/>
          <w:sz w:val="19"/>
        </w:rPr>
        <w:t>P. Nectoux et al., "PRONOSTIA: An experimental platform for bearings accelerated degradation tests," in Proc. IEEE Int. Conf. on Prognostics and Health Management (ICPHM), Denver, CO, USA, 2012, pp. 1-8.</w:t>
      </w:r>
    </w:p>
    <w:p>
      <w:pPr>
        <w:spacing w:before="40" w:after="80"/>
        <w:jc w:val="both"/>
      </w:pPr>
      <w:r>
        <w:rPr>
          <w:rFonts w:ascii="Calibri" w:hAnsi="Calibri"/>
          <w:b/>
          <w:color w:val="1B365D"/>
          <w:sz w:val="19"/>
        </w:rPr>
        <w:t xml:space="preserve">[4] </w:t>
      </w:r>
      <w:r>
        <w:rPr>
          <w:rFonts w:ascii="Calibri" w:hAnsi="Calibri"/>
          <w:color w:val="222222"/>
          <w:sz w:val="19"/>
        </w:rPr>
        <w:t>Y. Purohit, D. Patel, and R. Shah, "Edge-based real-time sensor data processing for industrial IoT predictive maintenance," ResearchGate Technical Report, DOI: 10.13140/RG.2.2.14829.15842, 2024.</w:t>
      </w:r>
    </w:p>
    <w:p>
      <w:pPr>
        <w:spacing w:before="40" w:after="80"/>
        <w:jc w:val="both"/>
      </w:pPr>
      <w:r>
        <w:rPr>
          <w:rFonts w:ascii="Calibri" w:hAnsi="Calibri"/>
          <w:b/>
          <w:color w:val="1B365D"/>
          <w:sz w:val="19"/>
        </w:rPr>
        <w:t xml:space="preserve">[5] </w:t>
      </w:r>
      <w:r>
        <w:rPr>
          <w:rFonts w:ascii="Calibri" w:hAnsi="Calibri"/>
          <w:color w:val="222222"/>
          <w:sz w:val="19"/>
        </w:rPr>
        <w:t>M. AL-Ghamdi and A. S. Al-Malaise, "Lightweight signal processing and Edge AI for mechanical fault diagnosis on embedded microcontrollers," MDPI Sensors, vol. 25, no. 4, art. no. 1184, 2025.</w:t>
      </w:r>
    </w:p>
    <w:p>
      <w:pPr>
        <w:spacing w:before="40" w:after="80"/>
        <w:jc w:val="both"/>
      </w:pPr>
      <w:r>
        <w:rPr>
          <w:rFonts w:ascii="Calibri" w:hAnsi="Calibri"/>
          <w:b/>
          <w:color w:val="1B365D"/>
          <w:sz w:val="19"/>
        </w:rPr>
        <w:t xml:space="preserve">[6] </w:t>
      </w:r>
      <w:r>
        <w:rPr>
          <w:rFonts w:ascii="Calibri" w:hAnsi="Calibri"/>
          <w:color w:val="222222"/>
          <w:sz w:val="19"/>
        </w:rPr>
        <w:t>E. T. H. Nguyen and S. Kim, "Edge AI for real-time anomaly detection in industrial IoT: A hybrid LSTM-autoencoder and Isolation Forest approach," MDPI IoT, vol. 6, no. 1, pp. 45-62, 2025.</w:t>
      </w:r>
    </w:p>
    <w:p>
      <w:pPr>
        <w:spacing w:before="40" w:after="80"/>
        <w:jc w:val="both"/>
      </w:pPr>
      <w:r>
        <w:rPr>
          <w:rFonts w:ascii="Calibri" w:hAnsi="Calibri"/>
          <w:b/>
          <w:color w:val="1B365D"/>
          <w:sz w:val="19"/>
        </w:rPr>
        <w:t xml:space="preserve">[7] </w:t>
      </w:r>
      <w:r>
        <w:rPr>
          <w:rFonts w:ascii="Calibri" w:hAnsi="Calibri"/>
          <w:color w:val="222222"/>
          <w:sz w:val="19"/>
        </w:rPr>
        <w:t>R. Zhao, R. Yan, Z. Chen, K. Mao, P. Wang, and R. X. Gao, "Deep learning and its applications to machine health monitoring: A comprehensive review," Mechanical Systems and Signal Processing, vol. 115, pp. 213-237, 2019.</w:t>
      </w:r>
    </w:p>
    <w:p>
      <w:pPr>
        <w:spacing w:before="40" w:after="80"/>
        <w:jc w:val="both"/>
      </w:pPr>
      <w:r>
        <w:rPr>
          <w:rFonts w:ascii="Calibri" w:hAnsi="Calibri"/>
          <w:b/>
          <w:color w:val="1B365D"/>
          <w:sz w:val="19"/>
        </w:rPr>
        <w:t xml:space="preserve">[8] </w:t>
      </w:r>
      <w:r>
        <w:rPr>
          <w:rFonts w:ascii="Calibri" w:hAnsi="Calibri"/>
          <w:color w:val="222222"/>
          <w:sz w:val="19"/>
        </w:rPr>
        <w:t>S. M. Lundberg and S.-I. Lee, "A unified approach to interpreting model predictions," in Advances in Neural Information Processing Systems (NeurIPS 2017), vol. 30, Long Beach, CA, USA, 2017, pp. 4765-4774.</w:t>
      </w:r>
    </w:p>
    <w:p>
      <w:pPr>
        <w:spacing w:before="40" w:after="80"/>
        <w:jc w:val="both"/>
      </w:pPr>
      <w:r>
        <w:rPr>
          <w:rFonts w:ascii="Calibri" w:hAnsi="Calibri"/>
          <w:b/>
          <w:color w:val="1B365D"/>
          <w:sz w:val="19"/>
        </w:rPr>
        <w:t xml:space="preserve">[9] </w:t>
      </w:r>
      <w:r>
        <w:rPr>
          <w:rFonts w:ascii="Calibri" w:hAnsi="Calibri"/>
          <w:color w:val="222222"/>
          <w:sz w:val="19"/>
        </w:rPr>
        <w:t>M. T. Ribeiro, S. Singh, and C. Guestrin, "'Why should I trust you?': Explaining the predictions of any classifier," in Proc. 22nd ACM SIGKDD Int. Conf. on Knowledge Discovery and Data Mining (KDD), San Francisco, CA, USA, 2016, pp. 1135-1144.</w:t>
      </w:r>
    </w:p>
    <w:p>
      <w:pPr>
        <w:spacing w:before="40" w:after="80"/>
        <w:jc w:val="both"/>
      </w:pPr>
      <w:r>
        <w:rPr>
          <w:rFonts w:ascii="Calibri" w:hAnsi="Calibri"/>
          <w:b/>
          <w:color w:val="1B365D"/>
          <w:sz w:val="19"/>
        </w:rPr>
        <w:t xml:space="preserve">[10] </w:t>
      </w:r>
      <w:r>
        <w:rPr>
          <w:rFonts w:ascii="Calibri" w:hAnsi="Calibri"/>
          <w:color w:val="222222"/>
          <w:sz w:val="19"/>
        </w:rPr>
        <w:t>H. Zhang, L. Song, and Y. Wang, "Explainable AI for industrial time-series anomaly detection: A survey on methodologies and human-in-the-loop validation," arXiv preprint arXiv:2404.11597, 2024.</w:t>
      </w:r>
    </w:p>
    <w:p>
      <w:pPr>
        <w:spacing w:before="40" w:after="80"/>
        <w:jc w:val="both"/>
      </w:pPr>
      <w:r>
        <w:rPr>
          <w:rFonts w:ascii="Calibri" w:hAnsi="Calibri"/>
          <w:b/>
          <w:color w:val="1B365D"/>
          <w:sz w:val="19"/>
        </w:rPr>
        <w:t xml:space="preserve">[11] </w:t>
      </w:r>
      <w:r>
        <w:rPr>
          <w:rFonts w:ascii="Calibri" w:hAnsi="Calibri"/>
          <w:color w:val="222222"/>
          <w:sz w:val="19"/>
        </w:rPr>
        <w:t>K. D. Patel and V. H. Kumar, "ShaTS: Shapley-based time-series attribution for multivariate IIoT sensor fault localization," arXiv preprint arXiv:2506.01450, 2025.</w:t>
      </w:r>
    </w:p>
    <w:p>
      <w:pPr>
        <w:spacing w:before="40" w:after="80"/>
        <w:jc w:val="both"/>
      </w:pPr>
      <w:r>
        <w:rPr>
          <w:rFonts w:ascii="Calibri" w:hAnsi="Calibri"/>
          <w:b/>
          <w:color w:val="1B365D"/>
          <w:sz w:val="19"/>
        </w:rPr>
        <w:t xml:space="preserve">[12] </w:t>
      </w:r>
      <w:r>
        <w:rPr>
          <w:rFonts w:ascii="Calibri" w:hAnsi="Calibri"/>
          <w:color w:val="222222"/>
          <w:sz w:val="19"/>
        </w:rPr>
        <w:t>B. Chen, J. Wu, and X. Zhang, "MindRAG: An autonomous agent framework with multimodal retrieval-augmented generation for industrial condition monitoring," arXiv preprint arXiv:2506.09247, 2025.</w:t>
      </w:r>
    </w:p>
    <w:p>
      <w:pPr>
        <w:spacing w:before="40" w:after="80"/>
        <w:jc w:val="both"/>
      </w:pPr>
      <w:r>
        <w:rPr>
          <w:rFonts w:ascii="Calibri" w:hAnsi="Calibri"/>
          <w:b/>
          <w:color w:val="1B365D"/>
          <w:sz w:val="19"/>
        </w:rPr>
        <w:t xml:space="preserve">[13] </w:t>
      </w:r>
      <w:r>
        <w:rPr>
          <w:rFonts w:ascii="Calibri" w:hAnsi="Calibri"/>
          <w:color w:val="222222"/>
          <w:sz w:val="19"/>
        </w:rPr>
        <w:t>P. Lewis et al., "Retrieval-augmented generation for knowledge-intensive NLP tasks," in Advances in Neural Information Processing Systems (NeurIPS 2020), vol. 33, 2020, pp. 9459-9474.</w:t>
      </w:r>
    </w:p>
    <w:p>
      <w:pPr>
        <w:spacing w:before="40" w:after="80"/>
        <w:jc w:val="both"/>
      </w:pPr>
      <w:r>
        <w:rPr>
          <w:rFonts w:ascii="Calibri" w:hAnsi="Calibri"/>
          <w:b/>
          <w:color w:val="1B365D"/>
          <w:sz w:val="19"/>
        </w:rPr>
        <w:t xml:space="preserve">[14] </w:t>
      </w:r>
      <w:r>
        <w:rPr>
          <w:rFonts w:ascii="Calibri" w:hAnsi="Calibri"/>
          <w:color w:val="222222"/>
          <w:sz w:val="19"/>
        </w:rPr>
        <w:t>T. Chen and C. Guestrin, "XGBoost: A scalable tree boosting system," in Proc. 22nd ACM SIGKDD Int. Conf. on Knowledge Discovery and Data Mining, San Francisco, CA, USA, 2016, pp. 785-794.</w:t>
      </w:r>
    </w:p>
    <w:p>
      <w:pPr>
        <w:spacing w:before="40" w:after="80"/>
        <w:jc w:val="both"/>
      </w:pPr>
      <w:r>
        <w:rPr>
          <w:rFonts w:ascii="Calibri" w:hAnsi="Calibri"/>
          <w:b/>
          <w:color w:val="1B365D"/>
          <w:sz w:val="19"/>
        </w:rPr>
        <w:t xml:space="preserve">[15] </w:t>
      </w:r>
      <w:r>
        <w:rPr>
          <w:rFonts w:ascii="Calibri" w:hAnsi="Calibri"/>
          <w:color w:val="222222"/>
          <w:sz w:val="19"/>
        </w:rPr>
        <w:t>F. T. Liu, K. M. Ting, and Z.-H. Zhou, "Isolation forest," in Proc. 8th IEEE Int. Conf. on Data Mining (ICDM), Pisa, Italy, 2008, pp. 413-422.</w:t>
      </w:r>
    </w:p>
    <w:p>
      <w:pPr>
        <w:spacing w:before="40" w:after="80"/>
        <w:jc w:val="both"/>
      </w:pPr>
      <w:r>
        <w:rPr>
          <w:rFonts w:ascii="Calibri" w:hAnsi="Calibri"/>
          <w:b/>
          <w:color w:val="1B365D"/>
          <w:sz w:val="19"/>
        </w:rPr>
        <w:t xml:space="preserve">[16] </w:t>
      </w:r>
      <w:r>
        <w:rPr>
          <w:rFonts w:ascii="Calibri" w:hAnsi="Calibri"/>
          <w:color w:val="222222"/>
          <w:sz w:val="19"/>
        </w:rPr>
        <w:t>G. Ke et al., "LightGBM: A highly efficient gradient boosting decision tree," in Advances in Neural Information Processing Systems (NeurIPS 2017), vol. 30, Long Beach, CA, USA, 2017, pp. 3146-3154.</w:t>
      </w:r>
    </w:p>
    <w:p>
      <w:pPr>
        <w:spacing w:before="40" w:after="80"/>
        <w:jc w:val="both"/>
      </w:pPr>
      <w:r>
        <w:rPr>
          <w:rFonts w:ascii="Calibri" w:hAnsi="Calibri"/>
          <w:b/>
          <w:color w:val="1B365D"/>
          <w:sz w:val="19"/>
        </w:rPr>
        <w:t xml:space="preserve">[17] </w:t>
      </w:r>
      <w:r>
        <w:rPr>
          <w:rFonts w:ascii="Calibri" w:hAnsi="Calibri"/>
          <w:color w:val="222222"/>
          <w:sz w:val="19"/>
        </w:rPr>
        <w:t>ISO 10816-3:2009, "Mechanical vibration -- Evaluation of machine vibration by measurements on non-rotating parts -- Part 3: Industrial machines with nominal power above 15 kW and nominal speeds between 120 r/min and 15 000 r/min," International Organization for Standardization, Geneva, Switzerland, 2009.</w:t>
      </w:r>
    </w:p>
    <w:p>
      <w:pPr>
        <w:spacing w:before="40" w:after="80"/>
        <w:jc w:val="both"/>
      </w:pPr>
      <w:r>
        <w:rPr>
          <w:rFonts w:ascii="Calibri" w:hAnsi="Calibri"/>
          <w:b/>
          <w:color w:val="1B365D"/>
          <w:sz w:val="19"/>
        </w:rPr>
        <w:t xml:space="preserve">[18] </w:t>
      </w:r>
      <w:r>
        <w:rPr>
          <w:rFonts w:ascii="Calibri" w:hAnsi="Calibri"/>
          <w:color w:val="222222"/>
          <w:sz w:val="19"/>
        </w:rPr>
        <w:t>SKF Group, "Rolling Bearings Catalogue and Engineering Guidelines," SKF Reliable Machinery Documentation, Gothenburg, Sweden, Tech. Publ. 17000/1 EN, 2023.</w:t>
      </w:r>
    </w:p>
    <w:p>
      <w:pPr>
        <w:spacing w:before="40" w:after="80"/>
        <w:jc w:val="both"/>
      </w:pPr>
      <w:r>
        <w:rPr>
          <w:rFonts w:ascii="Calibri" w:hAnsi="Calibri"/>
          <w:b/>
          <w:color w:val="1B365D"/>
          <w:sz w:val="19"/>
        </w:rPr>
        <w:t xml:space="preserve">[19] </w:t>
      </w:r>
      <w:r>
        <w:rPr>
          <w:rFonts w:ascii="Calibri" w:hAnsi="Calibri"/>
          <w:color w:val="222222"/>
          <w:sz w:val="19"/>
        </w:rPr>
        <w:t>A. K. S. Jardine, D. Lin, and D. Banjevic, "A review on machinery diagnostics and prognostics implementing condition-based maintenance," Mechanical Systems and Signal Processing, vol. 20, no. 7, pp. 1483-1510, 2006.</w:t>
      </w:r>
    </w:p>
    <w:p>
      <w:pPr>
        <w:spacing w:before="40" w:after="80"/>
        <w:jc w:val="both"/>
      </w:pPr>
      <w:r>
        <w:rPr>
          <w:rFonts w:ascii="Calibri" w:hAnsi="Calibri"/>
          <w:b/>
          <w:color w:val="1B365D"/>
          <w:sz w:val="19"/>
        </w:rPr>
        <w:t xml:space="preserve">[20] </w:t>
      </w:r>
      <w:r>
        <w:rPr>
          <w:rFonts w:ascii="Calibri" w:hAnsi="Calibri"/>
          <w:color w:val="222222"/>
          <w:sz w:val="19"/>
        </w:rPr>
        <w:t>W. A. Smith and R. B. Randall, "Rolling element bearing diagnostics using the Case Western Reserve University data: A benchmark study," Mechanical Systems and Signal Processing, vol. 64-65, pp. 100-131, 2015.</w:t>
      </w:r>
    </w:p>
    <w:p>
      <w:pPr>
        <w:spacing w:before="40" w:after="80"/>
        <w:jc w:val="both"/>
      </w:pPr>
      <w:r>
        <w:rPr>
          <w:rFonts w:ascii="Calibri" w:hAnsi="Calibri"/>
          <w:b/>
          <w:color w:val="1B365D"/>
          <w:sz w:val="19"/>
        </w:rPr>
        <w:t xml:space="preserve">[21] </w:t>
      </w:r>
      <w:r>
        <w:rPr>
          <w:rFonts w:ascii="Calibri" w:hAnsi="Calibri"/>
          <w:color w:val="222222"/>
          <w:sz w:val="19"/>
        </w:rPr>
        <w:t>N. Tandon and A. Choudhury, "A review of vibration and acoustic measurement methods for the detection of defects in rolling element bearings," Tribology International, vol. 32, no. 8, pp. 469-480, 1999.</w:t>
      </w:r>
    </w:p>
    <w:p>
      <w:pPr>
        <w:spacing w:before="40" w:after="80"/>
        <w:jc w:val="both"/>
      </w:pPr>
      <w:r>
        <w:rPr>
          <w:rFonts w:ascii="Calibri" w:hAnsi="Calibri"/>
          <w:b/>
          <w:color w:val="1B365D"/>
          <w:sz w:val="19"/>
        </w:rPr>
        <w:t xml:space="preserve">[22] </w:t>
      </w:r>
      <w:r>
        <w:rPr>
          <w:rFonts w:ascii="Calibri" w:hAnsi="Calibri"/>
          <w:color w:val="222222"/>
          <w:sz w:val="19"/>
        </w:rPr>
        <w:t>Y. Bengio, A. Courville, and P. Vincent, "Representation learning: A review and new perspectives," IEEE Trans. on Pattern Analysis and Machine Intelligence, vol. 35, no. 8, pp. 1798-1828, 2013.</w:t>
      </w:r>
    </w:p>
    <w:p>
      <w:pPr>
        <w:spacing w:before="40" w:after="80"/>
        <w:jc w:val="both"/>
      </w:pPr>
      <w:r>
        <w:rPr>
          <w:rFonts w:ascii="Calibri" w:hAnsi="Calibri"/>
          <w:b/>
          <w:color w:val="1B365D"/>
          <w:sz w:val="19"/>
        </w:rPr>
        <w:t xml:space="preserve">[23] </w:t>
      </w:r>
      <w:r>
        <w:rPr>
          <w:rFonts w:ascii="Calibri" w:hAnsi="Calibri"/>
          <w:color w:val="222222"/>
          <w:sz w:val="19"/>
        </w:rPr>
        <w:t>J. H. Friedman, "Greedy function approximation: A gradient boosting machine," The Annals of Statistics, vol. 29, no. 5, pp. 1189-1232, 2001.</w:t>
      </w:r>
    </w:p>
    <w:p>
      <w:pPr>
        <w:spacing w:before="40" w:after="80"/>
        <w:jc w:val="both"/>
      </w:pPr>
      <w:r>
        <w:rPr>
          <w:rFonts w:ascii="Calibri" w:hAnsi="Calibri"/>
          <w:b/>
          <w:color w:val="1B365D"/>
          <w:sz w:val="19"/>
        </w:rPr>
        <w:t xml:space="preserve">[24] </w:t>
      </w:r>
      <w:r>
        <w:rPr>
          <w:rFonts w:ascii="Calibri" w:hAnsi="Calibri"/>
          <w:color w:val="222222"/>
          <w:sz w:val="19"/>
        </w:rPr>
        <w:t>L. Breiman, "Random forests," Machine Learning, vol. 45, no. 1, pp. 5-32, 2001.</w:t>
      </w:r>
    </w:p>
    <w:p>
      <w:pPr>
        <w:spacing w:before="40" w:after="80"/>
        <w:jc w:val="both"/>
      </w:pPr>
      <w:r>
        <w:rPr>
          <w:rFonts w:ascii="Calibri" w:hAnsi="Calibri"/>
          <w:b/>
          <w:color w:val="1B365D"/>
          <w:sz w:val="19"/>
        </w:rPr>
        <w:t xml:space="preserve">[25] </w:t>
      </w:r>
      <w:r>
        <w:rPr>
          <w:rFonts w:ascii="Calibri" w:hAnsi="Calibri"/>
          <w:color w:val="222222"/>
          <w:sz w:val="19"/>
        </w:rPr>
        <w:t>V. Jacob and M. Rouis, "Comparative study of edge computing frameworks for vibration analysis," ESPRIM Engineering Research Bulletin, vol. 12, pp. 34-48, 2025.</w:t>
      </w:r>
    </w:p>
    <w:p>
      <w:pPr>
        <w:spacing w:before="40" w:after="80"/>
        <w:jc w:val="both"/>
      </w:pPr>
      <w:r>
        <w:rPr>
          <w:rFonts w:ascii="Calibri" w:hAnsi="Calibri"/>
          <w:b/>
          <w:color w:val="1B365D"/>
          <w:sz w:val="19"/>
        </w:rPr>
        <w:t xml:space="preserve">[26] </w:t>
      </w:r>
      <w:r>
        <w:rPr>
          <w:rFonts w:ascii="Calibri" w:hAnsi="Calibri"/>
          <w:color w:val="222222"/>
          <w:sz w:val="19"/>
        </w:rPr>
        <w:t>Y. LeCun, Y. Bengio, and G. Hinton, "Deep learning," Nature, vol. 521, no. 7553, pp. 436-444, 2015.</w:t>
      </w:r>
    </w:p>
    <w:p>
      <w:pPr>
        <w:spacing w:before="40" w:after="80"/>
        <w:jc w:val="both"/>
      </w:pPr>
      <w:r>
        <w:rPr>
          <w:rFonts w:ascii="Calibri" w:hAnsi="Calibri"/>
          <w:b/>
          <w:color w:val="1B365D"/>
          <w:sz w:val="19"/>
        </w:rPr>
        <w:t xml:space="preserve">[27] </w:t>
      </w:r>
      <w:r>
        <w:rPr>
          <w:rFonts w:ascii="Calibri" w:hAnsi="Calibri"/>
          <w:color w:val="222222"/>
          <w:sz w:val="19"/>
        </w:rPr>
        <w:t>D. P. Kingma and J. Ba, "Adam: A method for stochastic optimization," in Proc. 3rd Int. Conf. on Learning Representations (ICLR), San Diego, CA, USA, 2015.</w:t>
      </w:r>
    </w:p>
    <w:p>
      <w:pPr>
        <w:spacing w:before="40" w:after="80"/>
        <w:jc w:val="both"/>
      </w:pPr>
      <w:r>
        <w:rPr>
          <w:rFonts w:ascii="Calibri" w:hAnsi="Calibri"/>
          <w:b/>
          <w:color w:val="1B365D"/>
          <w:sz w:val="19"/>
        </w:rPr>
        <w:t xml:space="preserve">[28] </w:t>
      </w:r>
      <w:r>
        <w:rPr>
          <w:rFonts w:ascii="Calibri" w:hAnsi="Calibri"/>
          <w:color w:val="222222"/>
          <w:sz w:val="19"/>
        </w:rPr>
        <w:t>F. Pedregosa et al., "Scikit-learn: Machine learning in Python," Journal of Machine Learning Research, vol. 12, pp. 2825-2830, 2011.</w:t>
      </w:r>
    </w:p>
    <w:p>
      <w:pPr>
        <w:spacing w:before="40" w:after="80"/>
        <w:jc w:val="both"/>
      </w:pPr>
      <w:r>
        <w:rPr>
          <w:rFonts w:ascii="Calibri" w:hAnsi="Calibri"/>
          <w:b/>
          <w:color w:val="1B365D"/>
          <w:sz w:val="19"/>
        </w:rPr>
        <w:t xml:space="preserve">[29] </w:t>
      </w:r>
      <w:r>
        <w:rPr>
          <w:rFonts w:ascii="Calibri" w:hAnsi="Calibri"/>
          <w:color w:val="222222"/>
          <w:sz w:val="19"/>
        </w:rPr>
        <w:t>A. Paszke et al., "PyTorch: An imperative style, high-performance deep learning library," in Advances in Neural Information Processing Systems (NeurIPS 2019), vol. 32, Vancouver, Canada, 2019, pp. 8024-8035.</w:t>
      </w:r>
    </w:p>
    <w:p>
      <w:pPr>
        <w:spacing w:before="40" w:after="80"/>
        <w:jc w:val="both"/>
      </w:pPr>
      <w:r>
        <w:rPr>
          <w:rFonts w:ascii="Calibri" w:hAnsi="Calibri"/>
          <w:b/>
          <w:color w:val="1B365D"/>
          <w:sz w:val="19"/>
        </w:rPr>
        <w:t xml:space="preserve">[30] </w:t>
      </w:r>
      <w:r>
        <w:rPr>
          <w:rFonts w:ascii="Calibri" w:hAnsi="Calibri"/>
          <w:color w:val="222222"/>
          <w:sz w:val="19"/>
        </w:rPr>
        <w:t>N. Reimers and I. Gurevych, "Sentence-BERT: Sentence embeddings using Siamese BERT-networks," in Proc. Conf. on Empirical Methods in Natural Language Processing (EMNLP), Hong Kong, 2019, pp. 3982-3992.</w:t>
      </w:r>
    </w:p>
    <w:p>
      <w:pPr>
        <w:spacing w:before="40" w:after="80"/>
        <w:jc w:val="both"/>
      </w:pPr>
      <w:r>
        <w:rPr>
          <w:rFonts w:ascii="Calibri" w:hAnsi="Calibri"/>
          <w:b/>
          <w:color w:val="1B365D"/>
          <w:sz w:val="19"/>
        </w:rPr>
        <w:t xml:space="preserve">[31] </w:t>
      </w:r>
      <w:r>
        <w:rPr>
          <w:rFonts w:ascii="Calibri" w:hAnsi="Calibri"/>
          <w:color w:val="222222"/>
          <w:sz w:val="19"/>
        </w:rPr>
        <w:t>S. Tiwary and M. Gupta, "Agentic RAG: A survey on reasoning, tool-use, and planning in LLM retrieval architectures," arXiv preprint arXiv:2501.09136, 2025.</w:t>
      </w:r>
    </w:p>
    <w:p>
      <w:pPr>
        <w:spacing w:before="40" w:after="80"/>
        <w:jc w:val="both"/>
      </w:pPr>
      <w:r>
        <w:rPr>
          <w:rFonts w:ascii="Calibri" w:hAnsi="Calibri"/>
          <w:b/>
          <w:color w:val="1B365D"/>
          <w:sz w:val="19"/>
        </w:rPr>
        <w:t xml:space="preserve">[32] </w:t>
      </w:r>
      <w:r>
        <w:rPr>
          <w:rFonts w:ascii="Calibri" w:hAnsi="Calibri"/>
          <w:color w:val="222222"/>
          <w:sz w:val="19"/>
        </w:rPr>
        <w:t>S. Han, H. Mao, and W. J. Dally, "Deep compression: Compressing deep neural networks with pruning, trained quantization and Huffman coding," in Proc. Int. Conf. on Learning Representations (ICLR), San Juan, Puerto Rico, 2016.</w:t>
      </w:r>
    </w:p>
    <w:p>
      <w:pPr>
        <w:spacing w:before="40" w:after="80"/>
        <w:jc w:val="both"/>
      </w:pPr>
      <w:r>
        <w:rPr>
          <w:rFonts w:ascii="Calibri" w:hAnsi="Calibri"/>
          <w:b/>
          <w:color w:val="1B365D"/>
          <w:sz w:val="19"/>
        </w:rPr>
        <w:t xml:space="preserve">[33] </w:t>
      </w:r>
      <w:r>
        <w:rPr>
          <w:rFonts w:ascii="Calibri" w:hAnsi="Calibri"/>
          <w:color w:val="222222"/>
          <w:sz w:val="19"/>
        </w:rPr>
        <w:t>ONNX Runtime Developers, "ONNX Runtime: Cross-platform, high-performance ML inferencing and training engine," Microsoft Corporation, 2024. [Online]. Available: https://onnxruntime.ai</w:t>
      </w:r>
    </w:p>
    <w:p>
      <w:pPr>
        <w:spacing w:before="40" w:after="80"/>
        <w:jc w:val="both"/>
      </w:pPr>
      <w:r>
        <w:rPr>
          <w:rFonts w:ascii="Calibri" w:hAnsi="Calibri"/>
          <w:b/>
          <w:color w:val="1B365D"/>
          <w:sz w:val="19"/>
        </w:rPr>
        <w:t xml:space="preserve">[34] </w:t>
      </w:r>
      <w:r>
        <w:rPr>
          <w:rFonts w:ascii="Calibri" w:hAnsi="Calibri"/>
          <w:color w:val="222222"/>
          <w:sz w:val="19"/>
        </w:rPr>
        <w:t>Raspberry Pi Foundation, "Raspberry Pi 4 Model B Product Brief," Cambridge, UK, Tech. Doc. 4B-PB-001, 2022.</w:t>
      </w:r>
    </w:p>
    <w:p>
      <w:pPr>
        <w:spacing w:before="40" w:after="80"/>
        <w:jc w:val="both"/>
      </w:pPr>
      <w:r>
        <w:rPr>
          <w:rFonts w:ascii="Calibri" w:hAnsi="Calibri"/>
          <w:b/>
          <w:color w:val="1B365D"/>
          <w:sz w:val="19"/>
        </w:rPr>
        <w:t xml:space="preserve">[35] </w:t>
      </w:r>
      <w:r>
        <w:rPr>
          <w:rFonts w:ascii="Calibri" w:hAnsi="Calibri"/>
          <w:color w:val="222222"/>
          <w:sz w:val="19"/>
        </w:rPr>
        <w:t>Occupational Safety and Health Administration (OSHA), "Control of Hazardous Energy (Lockout/Tagout) - Standard 29 CFR 1910.147," U.S. Department of Labor, Washington, DC, USA, 2021.</w:t>
      </w:r>
    </w:p>
    <w:p>
      <w:pPr>
        <w:spacing w:before="40" w:after="80"/>
        <w:jc w:val="both"/>
      </w:pPr>
      <w:r>
        <w:rPr>
          <w:rFonts w:ascii="Calibri" w:hAnsi="Calibri"/>
          <w:b/>
          <w:color w:val="1B365D"/>
          <w:sz w:val="19"/>
        </w:rPr>
        <w:t xml:space="preserve">[36] </w:t>
      </w:r>
      <w:r>
        <w:rPr>
          <w:rFonts w:ascii="Calibri" w:hAnsi="Calibri"/>
          <w:color w:val="222222"/>
          <w:sz w:val="19"/>
        </w:rPr>
        <w:t>Union Technique de l'Électricité (UTE), "Norme NF C 18-510 : Opérations sur les ouvrages et installations électriques et dans un environnement électrique - Prévention du risque électrique," AFNOR Éditions, Saint-Denis, France, 2012.</w:t>
      </w:r>
    </w:p>
    <w:p>
      <w:r>
        <w:br w:type="page"/>
      </w:r>
    </w:p>
    <w:p>
      <w:pPr>
        <w:keepNext/>
        <w:spacing w:before="280" w:after="160"/>
      </w:pPr>
      <w:r>
        <w:rPr>
          <w:rFonts w:ascii="Calibri" w:hAnsi="Calibri"/>
          <w:b/>
          <w:color w:val="1B365D"/>
          <w:sz w:val="34"/>
        </w:rPr>
        <w:t>Annexes</w:t>
      </w:r>
    </w:p>
    <w:p>
      <w:pPr>
        <w:keepNext/>
        <w:spacing w:before="240" w:after="80"/>
      </w:pPr>
      <w:r>
        <w:rPr>
          <w:rFonts w:ascii="Calibri" w:hAnsi="Calibri"/>
          <w:b/>
          <w:color w:val="2B547E"/>
          <w:sz w:val="27"/>
        </w:rPr>
        <w:t>Annexe A : Fiche Technique Détaillée du Roulement SKF 6205-2RS</w:t>
      </w:r>
    </w:p>
    <w:p>
      <w:pPr>
        <w:spacing w:line="276" w:lineRule="auto" w:after="100"/>
        <w:jc w:val="both"/>
      </w:pPr>
      <w:r>
        <w:rPr>
          <w:rFonts w:ascii="Calibri" w:hAnsi="Calibri"/>
          <w:color w:val="222222"/>
          <w:sz w:val="22"/>
        </w:rPr>
        <w:t>Le roulement SKF 6205-2RS est un roulement rigide à une rangée de billes muni de deux flasques d'étanchéité en caoutchouc nitrile (2RS) lubrifié à vie avec une graisse polyurée. Ses spécifications constructeur complètes sont :</w:t>
      </w:r>
    </w:p>
    <w:tbl>
      <w:tblPr>
        <w:tblW w:type="auto" w:w="0"/>
        <w:jc w:val="center"/>
        <w:tblLayout w:type="fixed"/>
        <w:tblLook w:firstColumn="1" w:firstRow="1" w:lastColumn="0" w:lastRow="0" w:noHBand="0" w:noVBand="1" w:val="04A0"/>
      </w:tblPr>
      <w:tblGrid>
        <w:gridCol w:w="2272"/>
        <w:gridCol w:w="2272"/>
        <w:gridCol w:w="2272"/>
        <w:gridCol w:w="2272"/>
      </w:tblGrid>
      <w:tr>
        <w:trPr>
          <w:tblHeader/>
        </w:trPr>
        <w:tc>
          <w:tcPr>
            <w:tcW w:type="dxa" w:w="3600"/>
            <w:vAlign w:val="center"/>
            <w:shd w:fill="1B365D"/>
          </w:tcPr>
          <w:p>
            <w:pPr>
              <w:spacing w:before="80" w:after="80"/>
              <w:jc w:val="center"/>
            </w:pPr>
            <w:r>
              <w:rPr>
                <w:rFonts w:ascii="Calibri" w:hAnsi="Calibri"/>
                <w:b/>
                <w:color w:val="FFFFFF"/>
                <w:sz w:val="20"/>
              </w:rPr>
              <w:t>Grandeur Mécanique</w:t>
            </w:r>
          </w:p>
        </w:tc>
        <w:tc>
          <w:tcPr>
            <w:tcW w:type="dxa" w:w="1440"/>
            <w:vAlign w:val="center"/>
            <w:shd w:fill="1B365D"/>
          </w:tcPr>
          <w:p>
            <w:pPr>
              <w:spacing w:before="80" w:after="80"/>
              <w:jc w:val="center"/>
            </w:pPr>
            <w:r>
              <w:rPr>
                <w:rFonts w:ascii="Calibri" w:hAnsi="Calibri"/>
                <w:b/>
                <w:color w:val="FFFFFF"/>
                <w:sz w:val="20"/>
              </w:rPr>
              <w:t>Symbole</w:t>
            </w:r>
          </w:p>
        </w:tc>
        <w:tc>
          <w:tcPr>
            <w:tcW w:type="dxa" w:w="2160"/>
            <w:vAlign w:val="center"/>
            <w:shd w:fill="1B365D"/>
          </w:tcPr>
          <w:p>
            <w:pPr>
              <w:spacing w:before="80" w:after="80"/>
              <w:jc w:val="center"/>
            </w:pPr>
            <w:r>
              <w:rPr>
                <w:rFonts w:ascii="Calibri" w:hAnsi="Calibri"/>
                <w:b/>
                <w:color w:val="FFFFFF"/>
                <w:sz w:val="20"/>
              </w:rPr>
              <w:t>Valeur Normative</w:t>
            </w:r>
          </w:p>
        </w:tc>
        <w:tc>
          <w:tcPr>
            <w:tcW w:type="dxa" w:w="1872"/>
            <w:vAlign w:val="center"/>
            <w:shd w:fill="1B365D"/>
          </w:tcPr>
          <w:p>
            <w:pPr>
              <w:spacing w:before="80" w:after="80"/>
              <w:jc w:val="center"/>
            </w:pPr>
            <w:r>
              <w:rPr>
                <w:rFonts w:ascii="Calibri" w:hAnsi="Calibri"/>
                <w:b/>
                <w:color w:val="FFFFFF"/>
                <w:sz w:val="20"/>
              </w:rPr>
              <w:t>Unité</w:t>
            </w:r>
          </w:p>
        </w:tc>
      </w:tr>
      <w:tr>
        <w:tc>
          <w:tcPr>
            <w:tcW w:type="dxa" w:w="360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Diamètre de l'alésage (Arbre)</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d</w:t>
            </w:r>
          </w:p>
        </w:tc>
        <w:tc>
          <w:tcPr>
            <w:tcW w:type="dxa" w:w="216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25.0</w:t>
            </w:r>
          </w:p>
        </w:tc>
        <w:tc>
          <w:tcPr>
            <w:tcW w:type="dxa" w:w="187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mm</w:t>
            </w:r>
          </w:p>
        </w:tc>
      </w:tr>
      <w:tr>
        <w:tc>
          <w:tcPr>
            <w:tcW w:type="dxa" w:w="3600"/>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Diamètre extérieur (Logement)</w:t>
            </w:r>
          </w:p>
        </w:tc>
        <w:tc>
          <w:tcPr>
            <w:tcW w:type="dxa" w:w="144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D</w:t>
            </w:r>
          </w:p>
        </w:tc>
        <w:tc>
          <w:tcPr>
            <w:tcW w:type="dxa" w:w="216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52.0</w:t>
            </w:r>
          </w:p>
        </w:tc>
        <w:tc>
          <w:tcPr>
            <w:tcW w:type="dxa" w:w="187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mm</w:t>
            </w:r>
          </w:p>
        </w:tc>
      </w:tr>
      <w:tr>
        <w:tc>
          <w:tcPr>
            <w:tcW w:type="dxa" w:w="360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Largeur totale de la bague</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B</w:t>
            </w:r>
          </w:p>
        </w:tc>
        <w:tc>
          <w:tcPr>
            <w:tcW w:type="dxa" w:w="216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15.0</w:t>
            </w:r>
          </w:p>
        </w:tc>
        <w:tc>
          <w:tcPr>
            <w:tcW w:type="dxa" w:w="187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mm</w:t>
            </w:r>
          </w:p>
        </w:tc>
      </w:tr>
      <w:tr>
        <w:tc>
          <w:tcPr>
            <w:tcW w:type="dxa" w:w="3600"/>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Charge dynamique de base</w:t>
            </w:r>
          </w:p>
        </w:tc>
        <w:tc>
          <w:tcPr>
            <w:tcW w:type="dxa" w:w="144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C</w:t>
            </w:r>
          </w:p>
        </w:tc>
        <w:tc>
          <w:tcPr>
            <w:tcW w:type="dxa" w:w="216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14.8</w:t>
            </w:r>
          </w:p>
        </w:tc>
        <w:tc>
          <w:tcPr>
            <w:tcW w:type="dxa" w:w="187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kN</w:t>
            </w:r>
          </w:p>
        </w:tc>
      </w:tr>
      <w:tr>
        <w:tc>
          <w:tcPr>
            <w:tcW w:type="dxa" w:w="360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Charge statique de base</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C0</w:t>
            </w:r>
          </w:p>
        </w:tc>
        <w:tc>
          <w:tcPr>
            <w:tcW w:type="dxa" w:w="216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7.8</w:t>
            </w:r>
          </w:p>
        </w:tc>
        <w:tc>
          <w:tcPr>
            <w:tcW w:type="dxa" w:w="187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kN</w:t>
            </w:r>
          </w:p>
        </w:tc>
      </w:tr>
      <w:tr>
        <w:tc>
          <w:tcPr>
            <w:tcW w:type="dxa" w:w="3600"/>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Vitesse limite de rotation</w:t>
            </w:r>
          </w:p>
        </w:tc>
        <w:tc>
          <w:tcPr>
            <w:tcW w:type="dxa" w:w="144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n_lim</w:t>
            </w:r>
          </w:p>
        </w:tc>
        <w:tc>
          <w:tcPr>
            <w:tcW w:type="dxa" w:w="216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8 500</w:t>
            </w:r>
          </w:p>
        </w:tc>
        <w:tc>
          <w:tcPr>
            <w:tcW w:type="dxa" w:w="187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tr/min (RPM)</w:t>
            </w:r>
          </w:p>
        </w:tc>
      </w:tr>
      <w:tr>
        <w:tc>
          <w:tcPr>
            <w:tcW w:type="dxa" w:w="360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Masse totale unitaire</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m</w:t>
            </w:r>
          </w:p>
        </w:tc>
        <w:tc>
          <w:tcPr>
            <w:tcW w:type="dxa" w:w="216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0.13</w:t>
            </w:r>
          </w:p>
        </w:tc>
        <w:tc>
          <w:tcPr>
            <w:tcW w:type="dxa" w:w="187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kg</w:t>
            </w:r>
          </w:p>
        </w:tc>
      </w:tr>
      <w:tr>
        <w:tc>
          <w:tcPr>
            <w:tcW w:type="dxa" w:w="3600"/>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Fréquence de bague externe à 1797 RPM</w:t>
            </w:r>
          </w:p>
        </w:tc>
        <w:tc>
          <w:tcPr>
            <w:tcW w:type="dxa" w:w="144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BPFO</w:t>
            </w:r>
          </w:p>
        </w:tc>
        <w:tc>
          <w:tcPr>
            <w:tcW w:type="dxa" w:w="216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107.4</w:t>
            </w:r>
          </w:p>
        </w:tc>
        <w:tc>
          <w:tcPr>
            <w:tcW w:type="dxa" w:w="187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Hz</w:t>
            </w:r>
          </w:p>
        </w:tc>
      </w:tr>
      <w:tr>
        <w:tc>
          <w:tcPr>
            <w:tcW w:type="dxa" w:w="3600"/>
            <w:vAlign w:val="center"/>
            <w:shd w:fill="FFFFFF"/>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Fréquence de bague interne à 1797 RPM</w:t>
            </w:r>
          </w:p>
        </w:tc>
        <w:tc>
          <w:tcPr>
            <w:tcW w:type="dxa" w:w="144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BPFI</w:t>
            </w:r>
          </w:p>
        </w:tc>
        <w:tc>
          <w:tcPr>
            <w:tcW w:type="dxa" w:w="2160"/>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162.2</w:t>
            </w:r>
          </w:p>
        </w:tc>
        <w:tc>
          <w:tcPr>
            <w:tcW w:type="dxa" w:w="1872"/>
            <w:vAlign w:val="center"/>
            <w:shd w:fill="FFFFFF"/>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Hz</w:t>
            </w:r>
          </w:p>
        </w:tc>
      </w:tr>
      <w:tr>
        <w:tc>
          <w:tcPr>
            <w:tcW w:type="dxa" w:w="3600"/>
            <w:vAlign w:val="center"/>
            <w:shd w:fill="F8FAFC"/>
            <w:tcBorders>
              <w:top w:val="single" w:sz="4" w:space="0" w:color="CBD5E1"/>
              <w:bottom w:val="single" w:sz="4" w:space="0" w:color="CBD5E1"/>
              <w:left w:val="none"/>
              <w:right w:val="none"/>
            </w:tcBorders>
          </w:tcPr>
          <w:p>
            <w:pPr>
              <w:spacing w:before="60" w:after="60"/>
              <w:jc w:val="left"/>
            </w:pPr>
            <w:r>
              <w:rPr>
                <w:rFonts w:ascii="Calibri" w:hAnsi="Calibri"/>
                <w:color w:val="222222"/>
                <w:sz w:val="19"/>
              </w:rPr>
              <w:t>Fréquence de bille (rotation propre)</w:t>
            </w:r>
          </w:p>
        </w:tc>
        <w:tc>
          <w:tcPr>
            <w:tcW w:type="dxa" w:w="144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BSF</w:t>
            </w:r>
          </w:p>
        </w:tc>
        <w:tc>
          <w:tcPr>
            <w:tcW w:type="dxa" w:w="2160"/>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47.1</w:t>
            </w:r>
          </w:p>
        </w:tc>
        <w:tc>
          <w:tcPr>
            <w:tcW w:type="dxa" w:w="1872"/>
            <w:vAlign w:val="center"/>
            <w:shd w:fill="F8FAFC"/>
            <w:tcBorders>
              <w:top w:val="single" w:sz="4" w:space="0" w:color="CBD5E1"/>
              <w:bottom w:val="single" w:sz="4" w:space="0" w:color="CBD5E1"/>
              <w:left w:val="none"/>
              <w:right w:val="none"/>
            </w:tcBorders>
          </w:tcPr>
          <w:p>
            <w:pPr>
              <w:spacing w:before="60" w:after="60"/>
              <w:jc w:val="center"/>
            </w:pPr>
            <w:r>
              <w:rPr>
                <w:rFonts w:ascii="Calibri" w:hAnsi="Calibri"/>
                <w:color w:val="222222"/>
                <w:sz w:val="19"/>
              </w:rPr>
              <w:t>Hz</w:t>
            </w:r>
          </w:p>
        </w:tc>
      </w:tr>
    </w:tbl>
    <w:p>
      <w:pPr>
        <w:spacing w:after="120"/>
      </w:pPr>
    </w:p>
    <w:p>
      <w:pPr>
        <w:keepNext/>
        <w:spacing w:before="240" w:after="80"/>
      </w:pPr>
      <w:r>
        <w:rPr>
          <w:rFonts w:ascii="Calibri" w:hAnsi="Calibri"/>
          <w:b/>
          <w:color w:val="2B547E"/>
          <w:sz w:val="27"/>
        </w:rPr>
        <w:t>Annexe B : Échantillon Réel du Fichier de Streaming IoT (`inference_stream.log`)</w:t>
      </w:r>
    </w:p>
    <w:p>
      <w:pPr>
        <w:spacing w:line="276" w:lineRule="auto" w:after="100"/>
        <w:jc w:val="both"/>
      </w:pPr>
      <w:r>
        <w:rPr>
          <w:rFonts w:ascii="Calibri" w:hAnsi="Calibri"/>
          <w:color w:val="222222"/>
          <w:sz w:val="22"/>
        </w:rPr>
        <w:t>Ci-dessous un extrait représentatif des enregistrements JSON Lines générés en direct par le moteur `raspberry/inference_edge.py` au rythme de 10 fenêtres par seconde en mode monitoring continu :</w:t>
      </w:r>
    </w:p>
    <w:tbl>
      <w:tblPr>
        <w:tblW w:type="auto" w:w="0"/>
        <w:jc w:val="center"/>
        <w:tblLayout w:type="fixed"/>
        <w:tblLook w:firstColumn="1" w:firstRow="1" w:lastColumn="0" w:lastRow="0" w:noHBand="0" w:noVBand="1" w:val="04A0"/>
      </w:tblPr>
      <w:tblGrid>
        <w:gridCol w:w="9087"/>
      </w:tblGrid>
      <w:tr>
        <w:tc>
          <w:tcPr>
            <w:tcW w:type="dxa" w:w="9072"/>
            <w:shd w:fill="F0F4F8"/>
            <w:tcBorders>
              <w:top w:val="none"/>
              <w:left w:val="single" w:sz="32" w:space="0" w:color="2B547E"/>
              <w:bottom w:val="none"/>
              <w:right w:val="none"/>
            </w:tcBorders>
            <w:tcMar>
              <w:top w:w="140" w:type="dxa"/>
              <w:left w:w="200" w:type="dxa"/>
              <w:bottom w:w="140" w:type="dxa"/>
              <w:right w:w="200" w:type="dxa"/>
            </w:tcMar>
          </w:tcPr>
          <w:p>
            <w:pPr>
              <w:spacing w:before="80" w:after="40"/>
              <w:jc w:val="both"/>
            </w:pPr>
            <w:r>
              <w:rPr>
                <w:rFonts w:ascii="Calibri" w:hAnsi="Calibri"/>
                <w:b/>
                <w:color w:val="2B547E"/>
                <w:sz w:val="21"/>
              </w:rPr>
              <w:t>[REMARQUE D'EXPERTISE] Fichier Log JSON Lines (Format Télémétrie IIoT)</w:t>
              <w:br/>
            </w:r>
            <w:r>
              <w:rPr>
                <w:rFonts w:ascii="Calibri" w:hAnsi="Calibri"/>
                <w:i w:val="0"/>
                <w:color w:val="222222"/>
                <w:sz w:val="20"/>
              </w:rPr>
              <w:t>{"timestamp": "2026-08-15T14:32:01.102Z", "model": "Gradient Boosting", "is_anomaly": 0, "prediction": "Normal", "latency_ms": 0.218, "kurtosis": 2.84, "rms": 0.082}</w:t>
              <w:br/>
              <w:t>{"timestamp": "2026-08-15T14:32:01.205Z", "model": "Gradient Boosting", "is_anomaly": 0, "prediction": "Normal", "latency_ms": 0.215, "kurtosis": 2.91, "rms": 0.083}</w:t>
              <w:br/>
              <w:t>{"timestamp": "2026-08-15T14:32:01.308Z", "model": "Gradient Boosting", "is_anomaly": 1, "prediction": "Anomaly Detected (Bague Interne)", "latency_ms": 0.224, "kurtosis": 7.45, "rms": 0.245, "z_score_kurtosis": 4.85}</w:t>
              <w:br/>
              <w:t>{"timestamp": "2026-08-15T14:32:01.411Z", "model": "Gradient Boosting", "is_anomaly": 1, "prediction": "Anomaly Detected (Bague Interne)", "latency_ms": 0.219, "kurtosis": 8.12, "rms": 0.261, "z_score_kurtosis": 5.12}</w:t>
            </w:r>
          </w:p>
        </w:tc>
      </w:tr>
    </w:tbl>
    <w:p>
      <w:pPr>
        <w:spacing w:after="80"/>
      </w:pPr>
    </w:p>
    <w:p>
      <w:pPr>
        <w:keepNext/>
        <w:spacing w:before="240" w:after="80"/>
      </w:pPr>
      <w:r>
        <w:rPr>
          <w:rFonts w:ascii="Calibri" w:hAnsi="Calibri"/>
          <w:b/>
          <w:color w:val="2B547E"/>
          <w:sz w:val="27"/>
        </w:rPr>
        <w:t>Annexe C : Architecture Fonctionnelle du Script d'Extraction de Caractéristiques</w:t>
      </w:r>
    </w:p>
    <w:p>
      <w:pPr>
        <w:spacing w:line="276" w:lineRule="auto" w:after="100"/>
        <w:jc w:val="both"/>
      </w:pPr>
      <w:r>
        <w:rPr>
          <w:rFonts w:ascii="Calibri" w:hAnsi="Calibri"/>
          <w:color w:val="222222"/>
          <w:sz w:val="22"/>
        </w:rPr>
        <w:t>Le module `src/feature_extraction.py` implémente la fonction maîtresse `extract_window_features(window, fs=12000)` qui calcule vectoriellement les 16 features en moins de 0.08 ms par fenêtre. Les opérations NumPy exploitent les fonctions `np.mean()`, `np.std()`, `np.var()`, `scipy.stats.kurtosis()`, `scipy.stats.skew()`, `np.fft.rfft()` et la détection du pic maximal spectral.</w:t>
      </w:r>
    </w:p>
    <w:sectPr w:rsidR="00FC693F" w:rsidRPr="0006063C" w:rsidSect="00034616">
      <w:headerReference w:type="default" r:id="rId9"/>
      <w:footerReference w:type="default" r:id="rId10"/>
      <w:pgSz w:w="11909" w:h="16834"/>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 xml:space="preserve">ESPRIM — Master / Diplôme National d'Ingénieur  |  Page </w:t>
    </w:r>
    <w:r>
      <w:rPr>
        <w:rFonts w:ascii="Calibri" w:hAnsi="Calibri"/>
        <w:b/>
        <w:color w:val="1B365D"/>
        <w:sz w:val="17"/>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Rapport de Stage de Fin d'Études — Edge AI &amp; RAG sur Raspberry 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jc w:val="both"/>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