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2EB6" w:rsidRPr="00E553AE" w:rsidRDefault="00FA0BFF" w:rsidP="009552A7">
      <w:pPr>
        <w:pStyle w:val="Title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553AE">
        <w:rPr>
          <w:rFonts w:ascii="Times New Roman" w:hAnsi="Times New Roman" w:cs="Times New Roman"/>
          <w:b/>
          <w:sz w:val="24"/>
          <w:szCs w:val="24"/>
        </w:rPr>
        <w:t>OPTICALLY TUNABLE BROADBAND TERAHERTZ METAMATERIAL ABSORBER USING PHOTOCONDUCTIVE GALLIUM ARSENIDE</w:t>
      </w:r>
    </w:p>
    <w:p w:rsidR="00FA0BFF" w:rsidRPr="00E553AE" w:rsidRDefault="00FA0BFF" w:rsidP="00FA0BFF">
      <w:pPr>
        <w:rPr>
          <w:rFonts w:ascii="Times New Roman" w:hAnsi="Times New Roman" w:cs="Times New Roman"/>
        </w:rPr>
      </w:pPr>
    </w:p>
    <w:p w:rsidR="00FA0BFF" w:rsidRPr="00FA0BFF" w:rsidRDefault="00FA0BFF" w:rsidP="00FA0BFF">
      <w:pPr>
        <w:spacing w:after="240" w:line="240" w:lineRule="auto"/>
        <w:contextualSpacing/>
        <w:jc w:val="center"/>
        <w:rPr>
          <w:rFonts w:ascii="Times New Roman" w:eastAsia="Calibri" w:hAnsi="Times New Roman" w:cs="Times New Roman"/>
          <w:i/>
          <w:kern w:val="0"/>
          <w:sz w:val="18"/>
          <w:szCs w:val="18"/>
          <w:lang w:val="en-CA"/>
          <w14:ligatures w14:val="none"/>
        </w:rPr>
      </w:pPr>
      <w:r w:rsidRPr="00FA0BFF">
        <w:rPr>
          <w:rFonts w:ascii="Times New Roman" w:eastAsia="Calibri" w:hAnsi="Times New Roman" w:cs="Times New Roman"/>
          <w:i/>
          <w:kern w:val="0"/>
          <w:sz w:val="18"/>
          <w:szCs w:val="18"/>
          <w:vertAlign w:val="superscript"/>
          <w:lang w:val="en-CA"/>
          <w14:ligatures w14:val="none"/>
        </w:rPr>
        <w:t>1*</w:t>
      </w:r>
      <w:r w:rsidRPr="00FA0BFF">
        <w:rPr>
          <w:rFonts w:ascii="Times New Roman" w:eastAsia="Calibri" w:hAnsi="Times New Roman" w:cs="Times New Roman"/>
          <w:i/>
          <w:kern w:val="0"/>
          <w:sz w:val="18"/>
          <w:szCs w:val="18"/>
          <w:lang w:val="en-CA"/>
          <w14:ligatures w14:val="none"/>
        </w:rPr>
        <w:t xml:space="preserve"> </w:t>
      </w:r>
      <w:r w:rsidRPr="00E553AE">
        <w:rPr>
          <w:rFonts w:ascii="Times New Roman" w:eastAsia="Calibri" w:hAnsi="Times New Roman" w:cs="Times New Roman"/>
          <w:i/>
          <w:kern w:val="0"/>
          <w:sz w:val="18"/>
          <w:szCs w:val="18"/>
          <w:lang w:val="en-CA"/>
          <w14:ligatures w14:val="none"/>
        </w:rPr>
        <w:t>Medha Devgan</w:t>
      </w:r>
      <w:r w:rsidRPr="00FA0BFF">
        <w:rPr>
          <w:rFonts w:ascii="Times New Roman" w:eastAsia="Calibri" w:hAnsi="Times New Roman" w:cs="Times New Roman"/>
          <w:i/>
          <w:kern w:val="0"/>
          <w:sz w:val="18"/>
          <w:szCs w:val="18"/>
          <w:lang w:val="en-CA"/>
          <w14:ligatures w14:val="none"/>
        </w:rPr>
        <w:t xml:space="preserve">, </w:t>
      </w:r>
      <w:r w:rsidRPr="00FA0BFF">
        <w:rPr>
          <w:rFonts w:ascii="Times New Roman" w:eastAsia="Calibri" w:hAnsi="Times New Roman" w:cs="Times New Roman"/>
          <w:i/>
          <w:kern w:val="0"/>
          <w:sz w:val="18"/>
          <w:szCs w:val="18"/>
          <w:vertAlign w:val="superscript"/>
          <w:lang w:val="en-CA"/>
          <w14:ligatures w14:val="none"/>
        </w:rPr>
        <w:t>2</w:t>
      </w:r>
      <w:r w:rsidRPr="00FA0BFF">
        <w:rPr>
          <w:rFonts w:ascii="Times New Roman" w:eastAsia="Calibri" w:hAnsi="Times New Roman" w:cs="Times New Roman"/>
          <w:i/>
          <w:kern w:val="0"/>
          <w:sz w:val="18"/>
          <w:szCs w:val="18"/>
          <w:lang w:val="en-CA"/>
          <w14:ligatures w14:val="none"/>
        </w:rPr>
        <w:t xml:space="preserve"> </w:t>
      </w:r>
      <w:proofErr w:type="spellStart"/>
      <w:r w:rsidRPr="00E553AE">
        <w:rPr>
          <w:rFonts w:ascii="Times New Roman" w:eastAsia="Calibri" w:hAnsi="Times New Roman" w:cs="Times New Roman"/>
          <w:i/>
          <w:kern w:val="0"/>
          <w:sz w:val="18"/>
          <w:szCs w:val="18"/>
          <w:lang w:val="en-CA"/>
          <w14:ligatures w14:val="none"/>
        </w:rPr>
        <w:t>Roopkiranpreet</w:t>
      </w:r>
      <w:proofErr w:type="spellEnd"/>
      <w:r w:rsidRPr="00E553AE">
        <w:rPr>
          <w:rFonts w:ascii="Times New Roman" w:eastAsia="Calibri" w:hAnsi="Times New Roman" w:cs="Times New Roman"/>
          <w:i/>
          <w:kern w:val="0"/>
          <w:sz w:val="18"/>
          <w:szCs w:val="18"/>
          <w:lang w:val="en-CA"/>
          <w14:ligatures w14:val="none"/>
        </w:rPr>
        <w:t xml:space="preserve"> Kaur</w:t>
      </w:r>
      <w:r w:rsidRPr="00FA0BFF">
        <w:rPr>
          <w:rFonts w:ascii="Times New Roman" w:eastAsia="Calibri" w:hAnsi="Times New Roman" w:cs="Times New Roman"/>
          <w:i/>
          <w:kern w:val="0"/>
          <w:sz w:val="18"/>
          <w:szCs w:val="18"/>
          <w:lang w:val="en-CA"/>
          <w14:ligatures w14:val="none"/>
        </w:rPr>
        <w:t xml:space="preserve">, </w:t>
      </w:r>
      <w:r w:rsidR="00833177" w:rsidRPr="00E553AE">
        <w:rPr>
          <w:rFonts w:ascii="Times New Roman" w:eastAsia="Calibri" w:hAnsi="Times New Roman" w:cs="Times New Roman"/>
          <w:i/>
          <w:kern w:val="0"/>
          <w:sz w:val="18"/>
          <w:szCs w:val="18"/>
          <w:vertAlign w:val="superscript"/>
          <w:lang w:val="en-CA"/>
          <w14:ligatures w14:val="none"/>
        </w:rPr>
        <w:t>1</w:t>
      </w:r>
      <w:r w:rsidRPr="00FA0BFF">
        <w:rPr>
          <w:rFonts w:ascii="Times New Roman" w:eastAsia="Calibri" w:hAnsi="Times New Roman" w:cs="Times New Roman"/>
          <w:i/>
          <w:kern w:val="0"/>
          <w:sz w:val="18"/>
          <w:szCs w:val="18"/>
          <w:lang w:val="en-CA"/>
          <w14:ligatures w14:val="none"/>
        </w:rPr>
        <w:t xml:space="preserve"> </w:t>
      </w:r>
      <w:proofErr w:type="spellStart"/>
      <w:r w:rsidRPr="00E553AE">
        <w:rPr>
          <w:rFonts w:ascii="Times New Roman" w:eastAsia="Calibri" w:hAnsi="Times New Roman" w:cs="Times New Roman"/>
          <w:i/>
          <w:kern w:val="0"/>
          <w:sz w:val="18"/>
          <w:szCs w:val="18"/>
          <w:lang w:val="en-CA"/>
          <w14:ligatures w14:val="none"/>
        </w:rPr>
        <w:t>Sukhdeep</w:t>
      </w:r>
      <w:proofErr w:type="spellEnd"/>
      <w:r w:rsidRPr="00E553AE">
        <w:rPr>
          <w:rFonts w:ascii="Times New Roman" w:eastAsia="Calibri" w:hAnsi="Times New Roman" w:cs="Times New Roman"/>
          <w:i/>
          <w:kern w:val="0"/>
          <w:sz w:val="18"/>
          <w:szCs w:val="18"/>
          <w:lang w:val="en-CA"/>
          <w14:ligatures w14:val="none"/>
        </w:rPr>
        <w:t xml:space="preserve"> Kaur</w:t>
      </w:r>
      <w:r w:rsidRPr="00FA0BFF">
        <w:rPr>
          <w:rFonts w:ascii="Times New Roman" w:eastAsia="Calibri" w:hAnsi="Times New Roman" w:cs="Times New Roman"/>
          <w:i/>
          <w:kern w:val="0"/>
          <w:sz w:val="18"/>
          <w:szCs w:val="18"/>
          <w:lang w:val="en-CA"/>
          <w14:ligatures w14:val="none"/>
        </w:rPr>
        <w:t xml:space="preserve">, </w:t>
      </w:r>
      <w:r w:rsidR="00833177" w:rsidRPr="00E553AE">
        <w:rPr>
          <w:rFonts w:ascii="Times New Roman" w:eastAsia="Calibri" w:hAnsi="Times New Roman" w:cs="Times New Roman"/>
          <w:i/>
          <w:kern w:val="0"/>
          <w:sz w:val="18"/>
          <w:szCs w:val="18"/>
          <w:vertAlign w:val="superscript"/>
          <w:lang w:val="en-CA"/>
          <w14:ligatures w14:val="none"/>
        </w:rPr>
        <w:t>3</w:t>
      </w:r>
      <w:r w:rsidRPr="00FA0BFF">
        <w:rPr>
          <w:rFonts w:ascii="Times New Roman" w:eastAsia="Calibri" w:hAnsi="Times New Roman" w:cs="Times New Roman"/>
          <w:i/>
          <w:kern w:val="0"/>
          <w:sz w:val="18"/>
          <w:szCs w:val="18"/>
          <w:lang w:val="en-CA"/>
          <w14:ligatures w14:val="none"/>
        </w:rPr>
        <w:t xml:space="preserve"> </w:t>
      </w:r>
      <w:proofErr w:type="spellStart"/>
      <w:r w:rsidRPr="00E553AE">
        <w:rPr>
          <w:rFonts w:ascii="Times New Roman" w:eastAsia="Calibri" w:hAnsi="Times New Roman" w:cs="Times New Roman"/>
          <w:i/>
          <w:kern w:val="0"/>
          <w:sz w:val="18"/>
          <w:szCs w:val="18"/>
          <w:lang w:val="en-CA"/>
          <w14:ligatures w14:val="none"/>
        </w:rPr>
        <w:t>Gagan</w:t>
      </w:r>
      <w:proofErr w:type="spellEnd"/>
      <w:r w:rsidRPr="00E553AE">
        <w:rPr>
          <w:rFonts w:ascii="Times New Roman" w:eastAsia="Calibri" w:hAnsi="Times New Roman" w:cs="Times New Roman"/>
          <w:i/>
          <w:kern w:val="0"/>
          <w:sz w:val="18"/>
          <w:szCs w:val="18"/>
          <w:lang w:val="en-CA"/>
          <w14:ligatures w14:val="none"/>
        </w:rPr>
        <w:t xml:space="preserve"> Kumar</w:t>
      </w:r>
    </w:p>
    <w:p w:rsidR="00FA0BFF" w:rsidRPr="00E553AE" w:rsidRDefault="00FA0BFF" w:rsidP="00FA0BFF">
      <w:pPr>
        <w:spacing w:after="240" w:line="240" w:lineRule="auto"/>
        <w:contextualSpacing/>
        <w:jc w:val="center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  <w:r w:rsidRPr="00E553AE">
        <w:rPr>
          <w:rFonts w:ascii="Times New Roman" w:eastAsia="Calibri" w:hAnsi="Times New Roman" w:cs="Times New Roman"/>
          <w:kern w:val="0"/>
          <w:sz w:val="18"/>
          <w:szCs w:val="18"/>
          <w:vertAlign w:val="superscript"/>
          <w14:ligatures w14:val="none"/>
        </w:rPr>
        <w:t>1</w:t>
      </w:r>
      <w:r w:rsidRPr="00E553AE"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  <w:t xml:space="preserve"> Department of Physics, Guru Nanak Dev University, Amritsar, Punjab-143005, India</w:t>
      </w:r>
    </w:p>
    <w:p w:rsidR="00FA0BFF" w:rsidRPr="00E553AE" w:rsidRDefault="00FA0BFF" w:rsidP="00FA0BFF">
      <w:pPr>
        <w:spacing w:after="240" w:line="240" w:lineRule="auto"/>
        <w:contextualSpacing/>
        <w:jc w:val="center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  <w:r w:rsidRPr="00E553AE">
        <w:rPr>
          <w:rFonts w:ascii="Times New Roman" w:eastAsia="Calibri" w:hAnsi="Times New Roman" w:cs="Times New Roman"/>
          <w:kern w:val="0"/>
          <w:sz w:val="18"/>
          <w:szCs w:val="18"/>
          <w:vertAlign w:val="superscript"/>
          <w14:ligatures w14:val="none"/>
        </w:rPr>
        <w:t>2</w:t>
      </w:r>
      <w:r w:rsidRPr="00E553AE"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  <w:t xml:space="preserve"> Department of Physics, S. L. </w:t>
      </w:r>
      <w:proofErr w:type="spellStart"/>
      <w:r w:rsidRPr="00E553AE"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  <w:t>Bawa</w:t>
      </w:r>
      <w:proofErr w:type="spellEnd"/>
      <w:r w:rsidRPr="00E553AE"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  <w:t xml:space="preserve"> DAV College, </w:t>
      </w:r>
      <w:proofErr w:type="spellStart"/>
      <w:r w:rsidRPr="00E553AE"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  <w:t>Batala</w:t>
      </w:r>
      <w:proofErr w:type="spellEnd"/>
      <w:r w:rsidRPr="00E553AE"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  <w:t>, Punjab – 143505, India</w:t>
      </w:r>
    </w:p>
    <w:p w:rsidR="00FA0BFF" w:rsidRPr="00E553AE" w:rsidRDefault="00FA0BFF" w:rsidP="00FA0BFF">
      <w:pPr>
        <w:spacing w:after="240" w:line="240" w:lineRule="auto"/>
        <w:contextualSpacing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en-CA"/>
          <w14:ligatures w14:val="none"/>
        </w:rPr>
      </w:pPr>
      <w:r w:rsidRPr="00E553AE">
        <w:rPr>
          <w:rFonts w:ascii="Times New Roman" w:eastAsia="Calibri" w:hAnsi="Times New Roman" w:cs="Times New Roman"/>
          <w:kern w:val="0"/>
          <w:sz w:val="18"/>
          <w:szCs w:val="18"/>
          <w:vertAlign w:val="superscript"/>
          <w14:ligatures w14:val="none"/>
        </w:rPr>
        <w:t>3</w:t>
      </w:r>
      <w:r w:rsidRPr="00E553AE"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  <w:t xml:space="preserve"> Department of Physics, Indian Institute of Technology Ropar, Punjab-140001, India</w:t>
      </w:r>
    </w:p>
    <w:p w:rsidR="00FA0BFF" w:rsidRPr="00E553AE" w:rsidRDefault="00FA0BFF" w:rsidP="00FA0BFF">
      <w:pPr>
        <w:spacing w:after="240" w:line="240" w:lineRule="auto"/>
        <w:contextualSpacing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en-CA"/>
          <w14:ligatures w14:val="none"/>
        </w:rPr>
      </w:pPr>
    </w:p>
    <w:p w:rsidR="00FA0BFF" w:rsidRPr="00FA0BFF" w:rsidRDefault="00FA0BFF" w:rsidP="00FA0BFF">
      <w:pPr>
        <w:spacing w:after="240" w:line="240" w:lineRule="auto"/>
        <w:contextualSpacing/>
        <w:jc w:val="center"/>
        <w:rPr>
          <w:rFonts w:ascii="Times New Roman" w:eastAsia="Calibri" w:hAnsi="Times New Roman" w:cs="Times New Roman"/>
          <w:kern w:val="0"/>
          <w:sz w:val="18"/>
          <w:szCs w:val="18"/>
          <w:lang w:val="en-CA"/>
          <w14:ligatures w14:val="none"/>
        </w:rPr>
      </w:pPr>
      <w:r w:rsidRPr="00E553AE">
        <w:rPr>
          <w:rFonts w:ascii="Times New Roman" w:hAnsi="Times New Roman" w:cs="Times New Roman"/>
          <w:sz w:val="18"/>
          <w:szCs w:val="18"/>
          <w:vertAlign w:val="superscript"/>
        </w:rPr>
        <w:t>*</w:t>
      </w:r>
      <w:r w:rsidRPr="00E553AE">
        <w:rPr>
          <w:rFonts w:ascii="Times New Roman" w:hAnsi="Times New Roman" w:cs="Times New Roman"/>
          <w:sz w:val="18"/>
          <w:szCs w:val="18"/>
        </w:rPr>
        <w:t>Corresponding author e-mail address: devganmedha@gmail.com</w:t>
      </w:r>
    </w:p>
    <w:p w:rsidR="009E2733" w:rsidRPr="00E553AE" w:rsidRDefault="009E2733" w:rsidP="009E2733">
      <w:pPr>
        <w:rPr>
          <w:rFonts w:ascii="Times New Roman" w:hAnsi="Times New Roman" w:cs="Times New Roman"/>
          <w:sz w:val="18"/>
          <w:szCs w:val="18"/>
        </w:rPr>
      </w:pPr>
    </w:p>
    <w:p w:rsidR="005A1D2F" w:rsidRDefault="00FA0BFF" w:rsidP="00E553AE">
      <w:pPr>
        <w:pStyle w:val="Heading1"/>
        <w:spacing w:line="360" w:lineRule="auto"/>
        <w:jc w:val="both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E553AE">
        <w:rPr>
          <w:rFonts w:ascii="Times New Roman" w:hAnsi="Times New Roman" w:cs="Times New Roman"/>
          <w:b/>
          <w:color w:val="auto"/>
          <w:sz w:val="20"/>
          <w:szCs w:val="20"/>
        </w:rPr>
        <w:t>ABSTRACT</w:t>
      </w:r>
    </w:p>
    <w:p w:rsidR="006D7A67" w:rsidRPr="008F6E09" w:rsidRDefault="00EE6C23" w:rsidP="008F6E09">
      <w:pPr>
        <w:jc w:val="both"/>
        <w:rPr>
          <w:rFonts w:ascii="Times New Roman" w:hAnsi="Times New Roman" w:cs="Times New Roman"/>
          <w:sz w:val="20"/>
          <w:szCs w:val="20"/>
        </w:rPr>
      </w:pPr>
      <w:bookmarkStart w:id="0" w:name="_GoBack"/>
      <w:r w:rsidRPr="00E553AE">
        <w:rPr>
          <w:rFonts w:ascii="Times New Roman" w:hAnsi="Times New Roman" w:cs="Times New Roman"/>
          <w:sz w:val="20"/>
          <w:szCs w:val="20"/>
        </w:rPr>
        <w:t>In this paper, w</w:t>
      </w:r>
      <w:r w:rsidR="009E2733" w:rsidRPr="00E553AE">
        <w:rPr>
          <w:rFonts w:ascii="Times New Roman" w:hAnsi="Times New Roman" w:cs="Times New Roman"/>
          <w:sz w:val="20"/>
          <w:szCs w:val="20"/>
        </w:rPr>
        <w:t>e propose and numerically investigate a broadband terahertz (THz) metamaterial absorber</w:t>
      </w:r>
      <w:r w:rsidR="00E553AE">
        <w:rPr>
          <w:rFonts w:ascii="Times New Roman" w:hAnsi="Times New Roman" w:cs="Times New Roman"/>
          <w:sz w:val="20"/>
          <w:szCs w:val="20"/>
        </w:rPr>
        <w:t xml:space="preserve"> operating in the 0.4-1.2 THz frequency range</w:t>
      </w:r>
      <w:r w:rsidR="009E2733" w:rsidRPr="00E553AE">
        <w:rPr>
          <w:rFonts w:ascii="Times New Roman" w:hAnsi="Times New Roman" w:cs="Times New Roman"/>
          <w:sz w:val="20"/>
          <w:szCs w:val="20"/>
        </w:rPr>
        <w:t xml:space="preserve"> in which a photoconductive </w:t>
      </w:r>
      <w:r w:rsidR="008F6E09">
        <w:rPr>
          <w:rFonts w:ascii="Times New Roman" w:hAnsi="Times New Roman" w:cs="Times New Roman"/>
          <w:sz w:val="20"/>
          <w:szCs w:val="20"/>
        </w:rPr>
        <w:t>film</w:t>
      </w:r>
      <w:r w:rsidR="00E553AE">
        <w:rPr>
          <w:rFonts w:ascii="Times New Roman" w:hAnsi="Times New Roman" w:cs="Times New Roman"/>
          <w:sz w:val="20"/>
          <w:szCs w:val="20"/>
        </w:rPr>
        <w:t xml:space="preserve"> of gallium arsenide (GaAs)</w:t>
      </w:r>
      <w:r w:rsidR="009E2733" w:rsidRPr="00E553AE">
        <w:rPr>
          <w:rFonts w:ascii="Times New Roman" w:hAnsi="Times New Roman" w:cs="Times New Roman"/>
          <w:sz w:val="20"/>
          <w:szCs w:val="20"/>
        </w:rPr>
        <w:t xml:space="preserve"> </w:t>
      </w:r>
      <w:r w:rsidR="00E553AE">
        <w:rPr>
          <w:rFonts w:ascii="Times New Roman" w:hAnsi="Times New Roman" w:cs="Times New Roman"/>
          <w:sz w:val="20"/>
          <w:szCs w:val="20"/>
        </w:rPr>
        <w:t xml:space="preserve">is filled in </w:t>
      </w:r>
      <w:r w:rsidR="009E2733" w:rsidRPr="00E553AE">
        <w:rPr>
          <w:rFonts w:ascii="Times New Roman" w:hAnsi="Times New Roman" w:cs="Times New Roman"/>
          <w:sz w:val="20"/>
          <w:szCs w:val="20"/>
        </w:rPr>
        <w:t>to achieve optical tunab</w:t>
      </w:r>
      <w:r w:rsidR="00E553AE">
        <w:rPr>
          <w:rFonts w:ascii="Times New Roman" w:hAnsi="Times New Roman" w:cs="Times New Roman"/>
          <w:sz w:val="20"/>
          <w:szCs w:val="20"/>
        </w:rPr>
        <w:t>ility</w:t>
      </w:r>
      <w:r w:rsidR="009E2733" w:rsidRPr="00E553AE">
        <w:rPr>
          <w:rFonts w:ascii="Times New Roman" w:hAnsi="Times New Roman" w:cs="Times New Roman"/>
          <w:sz w:val="20"/>
          <w:szCs w:val="20"/>
        </w:rPr>
        <w:t xml:space="preserve">. </w:t>
      </w:r>
      <w:r w:rsidR="00E553AE">
        <w:rPr>
          <w:rFonts w:ascii="Times New Roman" w:hAnsi="Times New Roman" w:cs="Times New Roman"/>
          <w:sz w:val="20"/>
          <w:szCs w:val="20"/>
        </w:rPr>
        <w:t xml:space="preserve">GaAs is selected due to its strong photo-induced carrier </w:t>
      </w:r>
      <w:r w:rsidR="008F6E09">
        <w:rPr>
          <w:rFonts w:ascii="Times New Roman" w:hAnsi="Times New Roman" w:cs="Times New Roman"/>
          <w:sz w:val="20"/>
          <w:szCs w:val="20"/>
        </w:rPr>
        <w:t>generation property and well-researched ultrafast photoconductive response in the THz regime</w:t>
      </w:r>
      <w:r w:rsidR="009E2733" w:rsidRPr="00E553AE">
        <w:rPr>
          <w:rFonts w:ascii="Times New Roman" w:hAnsi="Times New Roman" w:cs="Times New Roman"/>
          <w:sz w:val="20"/>
          <w:szCs w:val="20"/>
        </w:rPr>
        <w:t>.</w:t>
      </w:r>
      <w:r w:rsidR="008F6E09">
        <w:rPr>
          <w:rFonts w:ascii="Times New Roman" w:hAnsi="Times New Roman" w:cs="Times New Roman"/>
          <w:sz w:val="20"/>
          <w:szCs w:val="20"/>
        </w:rPr>
        <w:t xml:space="preserve"> </w:t>
      </w:r>
      <w:r w:rsidR="00E553AE" w:rsidRPr="008F6E09">
        <w:rPr>
          <w:rFonts w:ascii="Times New Roman" w:hAnsi="Times New Roman" w:cs="Times New Roman"/>
          <w:sz w:val="20"/>
          <w:szCs w:val="20"/>
        </w:rPr>
        <w:t>In the absence of optical excitation, the structure exhibits near-zero absorption due to impedance mismatch.</w:t>
      </w:r>
      <w:r w:rsidR="008F6E09">
        <w:rPr>
          <w:rFonts w:ascii="Times New Roman" w:hAnsi="Times New Roman" w:cs="Times New Roman"/>
          <w:sz w:val="20"/>
          <w:szCs w:val="20"/>
        </w:rPr>
        <w:t xml:space="preserve"> Upon optical pumping, free carriers are generated in the GaAs film.</w:t>
      </w:r>
      <w:r w:rsidR="00E553AE" w:rsidRPr="008F6E09">
        <w:rPr>
          <w:rFonts w:ascii="Times New Roman" w:hAnsi="Times New Roman" w:cs="Times New Roman"/>
          <w:sz w:val="20"/>
          <w:szCs w:val="20"/>
        </w:rPr>
        <w:t xml:space="preserve"> As the pump intensity increases, photogenerated carrier density rises proportionally, </w:t>
      </w:r>
      <w:r w:rsidR="008F6E09">
        <w:rPr>
          <w:rFonts w:ascii="Times New Roman" w:hAnsi="Times New Roman" w:cs="Times New Roman"/>
          <w:sz w:val="20"/>
          <w:szCs w:val="20"/>
        </w:rPr>
        <w:t>increasing</w:t>
      </w:r>
      <w:r w:rsidR="00E553AE" w:rsidRPr="008F6E09">
        <w:rPr>
          <w:rFonts w:ascii="Times New Roman" w:hAnsi="Times New Roman" w:cs="Times New Roman"/>
          <w:sz w:val="20"/>
          <w:szCs w:val="20"/>
        </w:rPr>
        <w:t xml:space="preserve"> the </w:t>
      </w:r>
      <w:r w:rsidR="008F6E09">
        <w:rPr>
          <w:rFonts w:ascii="Times New Roman" w:hAnsi="Times New Roman" w:cs="Times New Roman"/>
          <w:sz w:val="20"/>
          <w:szCs w:val="20"/>
        </w:rPr>
        <w:t>conductivity</w:t>
      </w:r>
      <w:r w:rsidR="00E553AE" w:rsidRPr="008F6E09">
        <w:rPr>
          <w:rFonts w:ascii="Times New Roman" w:hAnsi="Times New Roman" w:cs="Times New Roman"/>
          <w:sz w:val="20"/>
          <w:szCs w:val="20"/>
        </w:rPr>
        <w:t xml:space="preserve"> and progressively enhancing electromagnetic </w:t>
      </w:r>
      <w:r w:rsidR="00E93D4F">
        <w:rPr>
          <w:rFonts w:ascii="Times New Roman" w:hAnsi="Times New Roman" w:cs="Times New Roman"/>
          <w:sz w:val="20"/>
          <w:szCs w:val="20"/>
        </w:rPr>
        <w:t>absorption</w:t>
      </w:r>
      <w:r w:rsidR="00E553AE" w:rsidRPr="008F6E09">
        <w:rPr>
          <w:rFonts w:ascii="Times New Roman" w:hAnsi="Times New Roman" w:cs="Times New Roman"/>
          <w:sz w:val="20"/>
          <w:szCs w:val="20"/>
        </w:rPr>
        <w:t>. This mechanism enables tunable absorption ranging from approximately 0% in the dark state to about 90% under optimized optical pumping conditions.</w:t>
      </w:r>
      <w:r w:rsidR="009E2733" w:rsidRPr="00E553AE">
        <w:rPr>
          <w:rFonts w:ascii="Times New Roman" w:hAnsi="Times New Roman" w:cs="Times New Roman"/>
          <w:sz w:val="20"/>
          <w:szCs w:val="20"/>
        </w:rPr>
        <w:t xml:space="preserve"> </w:t>
      </w:r>
      <w:r w:rsidR="00E553AE" w:rsidRPr="008F6E09">
        <w:rPr>
          <w:rFonts w:ascii="Times New Roman" w:hAnsi="Times New Roman" w:cs="Times New Roman"/>
          <w:sz w:val="20"/>
          <w:szCs w:val="20"/>
        </w:rPr>
        <w:t xml:space="preserve">The proposed approach demonstrates that photoconductive GaAs can serve as an optically controllable resistive element in the THz regime, providing a compact, fabrication-friendly, and dynamically reconfigurable platform for THz modulators, adaptive absorbers and </w:t>
      </w:r>
      <w:proofErr w:type="spellStart"/>
      <w:r w:rsidR="00E553AE" w:rsidRPr="008F6E09">
        <w:rPr>
          <w:rFonts w:ascii="Times New Roman" w:hAnsi="Times New Roman" w:cs="Times New Roman"/>
          <w:sz w:val="20"/>
          <w:szCs w:val="20"/>
        </w:rPr>
        <w:t>metasurfaces</w:t>
      </w:r>
      <w:proofErr w:type="spellEnd"/>
      <w:r w:rsidR="00E553AE" w:rsidRPr="008F6E09">
        <w:rPr>
          <w:rFonts w:ascii="Times New Roman" w:hAnsi="Times New Roman" w:cs="Times New Roman"/>
          <w:sz w:val="20"/>
          <w:szCs w:val="20"/>
        </w:rPr>
        <w:t>.</w:t>
      </w:r>
      <w:bookmarkEnd w:id="0"/>
    </w:p>
    <w:p w:rsidR="003031B9" w:rsidRPr="00E553AE" w:rsidRDefault="003031B9" w:rsidP="003031B9">
      <w:pPr>
        <w:rPr>
          <w:rFonts w:ascii="Times New Roman" w:hAnsi="Times New Roman" w:cs="Times New Roman"/>
        </w:rPr>
      </w:pPr>
    </w:p>
    <w:p w:rsidR="003031B9" w:rsidRPr="00E553AE" w:rsidRDefault="00B641BE" w:rsidP="003031B9">
      <w:pPr>
        <w:rPr>
          <w:rFonts w:ascii="Times New Roman" w:hAnsi="Times New Roman" w:cs="Times New Roman"/>
          <w:sz w:val="20"/>
          <w:szCs w:val="20"/>
        </w:rPr>
      </w:pPr>
      <w:r w:rsidRPr="00E553AE">
        <w:rPr>
          <w:rFonts w:ascii="Times New Roman" w:hAnsi="Times New Roman" w:cs="Times New Roman"/>
          <w:b/>
          <w:i/>
          <w:sz w:val="20"/>
          <w:szCs w:val="20"/>
        </w:rPr>
        <w:t>Keywords:</w:t>
      </w:r>
      <w:r w:rsidRPr="00E553AE">
        <w:rPr>
          <w:rFonts w:ascii="Times New Roman" w:hAnsi="Times New Roman" w:cs="Times New Roman"/>
          <w:sz w:val="20"/>
          <w:szCs w:val="20"/>
        </w:rPr>
        <w:t xml:space="preserve"> </w:t>
      </w:r>
      <w:r w:rsidR="007E7AE9">
        <w:rPr>
          <w:rFonts w:ascii="Times New Roman" w:hAnsi="Times New Roman" w:cs="Times New Roman"/>
          <w:sz w:val="20"/>
          <w:szCs w:val="20"/>
        </w:rPr>
        <w:t>T</w:t>
      </w:r>
      <w:r w:rsidR="00A97A64" w:rsidRPr="00E553AE">
        <w:rPr>
          <w:rFonts w:ascii="Times New Roman" w:hAnsi="Times New Roman" w:cs="Times New Roman"/>
          <w:sz w:val="20"/>
          <w:szCs w:val="20"/>
        </w:rPr>
        <w:t xml:space="preserve">erahertz </w:t>
      </w:r>
      <w:r w:rsidR="00361F5F" w:rsidRPr="00E553AE">
        <w:rPr>
          <w:rFonts w:ascii="Times New Roman" w:hAnsi="Times New Roman" w:cs="Times New Roman"/>
          <w:sz w:val="20"/>
          <w:szCs w:val="20"/>
        </w:rPr>
        <w:t>metam</w:t>
      </w:r>
      <w:r w:rsidR="00A97A64" w:rsidRPr="00E553AE">
        <w:rPr>
          <w:rFonts w:ascii="Times New Roman" w:hAnsi="Times New Roman" w:cs="Times New Roman"/>
          <w:sz w:val="20"/>
          <w:szCs w:val="20"/>
        </w:rPr>
        <w:t>a</w:t>
      </w:r>
      <w:r w:rsidR="00361F5F" w:rsidRPr="00E553AE">
        <w:rPr>
          <w:rFonts w:ascii="Times New Roman" w:hAnsi="Times New Roman" w:cs="Times New Roman"/>
          <w:sz w:val="20"/>
          <w:szCs w:val="20"/>
        </w:rPr>
        <w:t>t</w:t>
      </w:r>
      <w:r w:rsidR="00A97A64" w:rsidRPr="00E553AE">
        <w:rPr>
          <w:rFonts w:ascii="Times New Roman" w:hAnsi="Times New Roman" w:cs="Times New Roman"/>
          <w:sz w:val="20"/>
          <w:szCs w:val="20"/>
        </w:rPr>
        <w:t>e</w:t>
      </w:r>
      <w:r w:rsidR="00361F5F" w:rsidRPr="00E553AE">
        <w:rPr>
          <w:rFonts w:ascii="Times New Roman" w:hAnsi="Times New Roman" w:cs="Times New Roman"/>
          <w:sz w:val="20"/>
          <w:szCs w:val="20"/>
        </w:rPr>
        <w:t>rial</w:t>
      </w:r>
      <w:r w:rsidRPr="00E553AE">
        <w:rPr>
          <w:rFonts w:ascii="Times New Roman" w:hAnsi="Times New Roman" w:cs="Times New Roman"/>
          <w:sz w:val="20"/>
          <w:szCs w:val="20"/>
        </w:rPr>
        <w:t xml:space="preserve">, </w:t>
      </w:r>
      <w:r w:rsidR="00A97A64" w:rsidRPr="00E553AE">
        <w:rPr>
          <w:rFonts w:ascii="Times New Roman" w:hAnsi="Times New Roman" w:cs="Times New Roman"/>
          <w:sz w:val="20"/>
          <w:szCs w:val="20"/>
        </w:rPr>
        <w:t>broadband absorption</w:t>
      </w:r>
      <w:r w:rsidRPr="00E553AE">
        <w:rPr>
          <w:rFonts w:ascii="Times New Roman" w:hAnsi="Times New Roman" w:cs="Times New Roman"/>
          <w:sz w:val="20"/>
          <w:szCs w:val="20"/>
        </w:rPr>
        <w:t xml:space="preserve">, </w:t>
      </w:r>
      <w:r w:rsidR="00A97A64" w:rsidRPr="00E553AE">
        <w:rPr>
          <w:rFonts w:ascii="Times New Roman" w:hAnsi="Times New Roman" w:cs="Times New Roman"/>
          <w:sz w:val="20"/>
          <w:szCs w:val="20"/>
        </w:rPr>
        <w:t>electrical conductivity, semi-conductor</w:t>
      </w:r>
    </w:p>
    <w:sectPr w:rsidR="003031B9" w:rsidRPr="00E553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2A7"/>
    <w:rsid w:val="003031B9"/>
    <w:rsid w:val="00361F5F"/>
    <w:rsid w:val="005A1D2F"/>
    <w:rsid w:val="00610FDA"/>
    <w:rsid w:val="006D7A67"/>
    <w:rsid w:val="007E7AE9"/>
    <w:rsid w:val="00833177"/>
    <w:rsid w:val="008B2EB6"/>
    <w:rsid w:val="008C38EA"/>
    <w:rsid w:val="008F6E09"/>
    <w:rsid w:val="009552A7"/>
    <w:rsid w:val="009E2733"/>
    <w:rsid w:val="00A97A64"/>
    <w:rsid w:val="00B641BE"/>
    <w:rsid w:val="00BC1799"/>
    <w:rsid w:val="00D50CE4"/>
    <w:rsid w:val="00E553AE"/>
    <w:rsid w:val="00E93D4F"/>
    <w:rsid w:val="00EE6C23"/>
    <w:rsid w:val="00FA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4073A"/>
  <w15:chartTrackingRefBased/>
  <w15:docId w15:val="{D2A0F6CB-502A-4BC6-AFD5-D85A04AB5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B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D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552A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0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A1D2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454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1266</TotalTime>
  <Pages>1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 Devgan</dc:creator>
  <cp:keywords/>
  <dc:description/>
  <cp:lastModifiedBy>Medha Devgan</cp:lastModifiedBy>
  <cp:revision>4</cp:revision>
  <dcterms:created xsi:type="dcterms:W3CDTF">2026-02-15T06:32:00Z</dcterms:created>
  <dcterms:modified xsi:type="dcterms:W3CDTF">2026-02-16T09:04:00Z</dcterms:modified>
</cp:coreProperties>
</file>