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2"/>
          <w:szCs w:val="32"/>
          <w:u w:val="single"/>
          <w:shd w:fill="auto" w:val="clear"/>
          <w:vertAlign w:val="baseline"/>
        </w:rPr>
      </w:pPr>
      <w:r w:rsidDel="00000000" w:rsidR="00000000" w:rsidRPr="00000000">
        <w:rPr>
          <w:rFonts w:ascii="Arial" w:cs="Arial" w:eastAsia="Arial" w:hAnsi="Arial"/>
          <w:b w:val="1"/>
          <w:i w:val="0"/>
          <w:smallCaps w:val="0"/>
          <w:strike w:val="0"/>
          <w:color w:val="000000"/>
          <w:sz w:val="32"/>
          <w:szCs w:val="32"/>
          <w:u w:val="single"/>
          <w:shd w:fill="auto" w:val="clear"/>
          <w:vertAlign w:val="baseline"/>
          <w:rtl w:val="0"/>
        </w:rPr>
        <w:t xml:space="preserve">Investigative Report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State Investigation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 of Investigation: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XX/XX/XX</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Intake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List of concerns reported in the original complaint.)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was alleged that a patient was sexually assaulted by another patient while residing at the facility.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Allegation/s: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allegation/s listed below is what the department has jurisdiction and authorization to investigate. An allegation is considered an assertion of improper practice or condition that could result in a violation of facility law or rule.)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2020-XXXX BHA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246-341-0410 Administrator key responsibilities by having failed to ensure day-to-day operation of the agency's provision of certified behavioral health treatment services, meeting all applicable rules, policies, and ethical standards. Additionally, by having failed to ensure administrative, personnel, clinical policies and procedures are adhered to, are compliant with the rules in this chapter, and other applicable state and federal statutes and regulations; along with ensuring there were sufficient qualified personnel to provide adequate treatment services and facility security. </w:t>
        <w:br w:type="textWrapping"/>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246-341-0420 Agency policies and procedures by having failed to provide any behavioral health service must develop, implement, and maintain policies and procedures that address all of the applicable licensing and certification requirements of this chapter including administrative and personnel policies and procedures. </w:t>
        <w:br w:type="textWrapping"/>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246-341-0425 Individual service record system by having failed to maintain a comprehensive individual service record system that includes policies and procedures that protect an individual's personal health information.</w:t>
        <w:br w:type="textWrapping"/>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246-341-0600 Individual rights by having failed to ensure a patient was treated with respect, dignity and privacy, except that staff may conduct reasonable searches to detect and prevent possession or use of contraband on the premises or to address risk of harm to the individual or others. "Reasonable" is defined as minimally invasive searches to detect contraband or invasive searches only upon the initial intake process or if there is reasonable suspicion of possession of contraband or the presence of other risk that could be used to cause harm to self or others. </w:t>
        <w:br w:type="textWrapping"/>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246-341-0640 Individual service record content by having failed to complete an age-appropriate, strengths-based psychosocial assessment that considers current needs and the individual's relevant behavioral and physical health history to include best practices and risk of harm to self or others, including a diagnostic assessment statement using American Society of Addiction Medicine (ASAM) criteria if in need of substance use disorder services.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2020-XXXX RTF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246-337-045: Governance and administration by having failed to review or adopt policies that addressed resources for the patient, applicable regulations, and having failed to ensure procedures for selecting and periodically evaluating a qualified administrator to carry out the goals and policies of the governing body.  </w:t>
        <w:br w:type="textWrapping"/>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246-337-048: Quality improvement program by having failed to establish a written performance improvement plan for measurement of serious or undesirable outcomes that occurred in the facility, to include death from overdose, identification of causes, and implementation of improvements, patient outcomes, patient care, and the death of a patient. </w:t>
        <w:br w:type="textWrapping"/>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246-337-065: Safety and security by having failed to protect resident safety and security by developing written policies and procedures that are consistent with the requirements of this chapter and address security, including controlling all entrances and exits and accounting for access to and egress from the RTF; and conducting resident searches. </w:t>
        <w:br w:type="textWrapping"/>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246-337-080: Resident care services by having failed to limit admission, transfer, discharge, and referral processes to patients for whom the RTF is qualified by staff, services, and equipment to provide safe care, by failing to refer patient's for health care provided outside of the RTF, by failing to provide access to a health assessment by a health care prescriber any time a patient exhibits signs and symptoms of an injury, illness or abnormality for which a medical diagnosis and treatment are indicated and by failing to address a serious illness, medical emergencies, or threat to life, including observing the patient for signs and symptoms of any illness or trauma. </w:t>
        <w:br w:type="textWrapping"/>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Fonts w:ascii="Arial" w:cs="Arial" w:eastAsia="Arial" w:hAnsi="Arial"/>
          <w:rtl w:val="0"/>
        </w:rPr>
        <w:t xml:space="preserve">Allegation: Potential violation of WAC 246-337-100: Resident's individual service plan by having failed to develop and implement a service plan for the patient based on the initial health of the patient at the time of admission and update the plan as additional needs are identified during treatment. </w:t>
      </w:r>
      <w:r w:rsidDel="00000000" w:rsidR="00000000" w:rsidRPr="00000000">
        <w:rPr>
          <w:rtl w:val="0"/>
        </w:rPr>
      </w:r>
    </w:p>
    <w:sectPr>
      <w:headerReference r:id="rId6" w:type="default"/>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PowerPlusWaterMarkObject1" style="position:absolute;width:467.95pt;height:200.55pt;rotation:0;z-index:-503316481;mso-position-horizontal-relative:margin;mso-position-horizontal:center;mso-position-vertical-relative:margin;mso-position-vertical:center;" fillcolor="#c0c0c0" stroked="f" type="#_x0000_t136">
          <v:fill angle="0" opacity="32768f"/>
          <v:textpath fitshape="t" string="SAMPLE" style="font-family:&amp;quot;Calibri&amp;quot;;font-size:1pt;"/>
        </v:shape>
      </w:pic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Facility Name: Behavioral Health Agency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Case/Intake Number: 20XX-XXXX, 20XX-XXXX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0x010100261AC9B43F7CBB489153C42AD9B48A5B</vt:lpwstr>
  </property>
  <property fmtid="{D5CDD505-2E9C-101B-9397-08002B2CF9AE}" pid="3" name="_dlc_DocIdItemGuid">
    <vt:lpwstr>46c46807-ce6c-473e-804a-c5d1ff6b12e6</vt:lpwstr>
  </property>
  <property fmtid="{D5CDD505-2E9C-101B-9397-08002B2CF9AE}" pid="4" name="Order">
    <vt:lpwstr>1000</vt:lpwstr>
  </property>
  <property fmtid="{D5CDD505-2E9C-101B-9397-08002B2CF9AE}" pid="5" name="xd_Signature">
    <vt:lpwstr>false</vt:lpwstr>
  </property>
  <property fmtid="{D5CDD505-2E9C-101B-9397-08002B2CF9AE}" pid="6" name="xd_ProgID">
    <vt:lpwstr>xd_ProgID</vt:lpwstr>
  </property>
  <property fmtid="{D5CDD505-2E9C-101B-9397-08002B2CF9AE}" pid="7" name="_dlc_DocId">
    <vt:lpwstr>PV25X54MA5AD-896105636-39</vt:lpwstr>
  </property>
  <property fmtid="{D5CDD505-2E9C-101B-9397-08002B2CF9AE}" pid="8" name="_dlc_DocIdUrl">
    <vt:lpwstr>https://stateofwa.sharepoint.com/sites/DOH-hsqa/oii/_layouts/15/DocIdRedir.aspx?ID=PV25X54MA5AD-896105636-39, PV25X54MA5AD-896105636-39</vt:lpwstr>
  </property>
  <property fmtid="{D5CDD505-2E9C-101B-9397-08002B2CF9AE}" pid="9" name="Document Type">
    <vt:lpwstr>Training</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Program">
    <vt:lpwstr>;#Behavioral Health Investigation;#</vt:lpwstr>
  </property>
  <property fmtid="{D5CDD505-2E9C-101B-9397-08002B2CF9AE}" pid="13" name="_ExtendedDescription">
    <vt:lpwstr>_ExtendedDescription</vt:lpwstr>
  </property>
  <property fmtid="{D5CDD505-2E9C-101B-9397-08002B2CF9AE}" pid="14" name="TriggerFlowInfo">
    <vt:lpwstr>TriggerFlowInfo</vt:lpwstr>
  </property>
  <property fmtid="{D5CDD505-2E9C-101B-9397-08002B2CF9AE}" pid="15" name="MSIP_Label_1520fa42-cf58-4c22-8b93-58cf1d3bd1cb_Enabled">
    <vt:lpwstr>true</vt:lpwstr>
  </property>
  <property fmtid="{D5CDD505-2E9C-101B-9397-08002B2CF9AE}" pid="16" name="MSIP_Label_1520fa42-cf58-4c22-8b93-58cf1d3bd1cb_SetDate">
    <vt:lpwstr>2025-02-05T22:06:11Z</vt:lpwstr>
  </property>
  <property fmtid="{D5CDD505-2E9C-101B-9397-08002B2CF9AE}" pid="17" name="MSIP_Label_1520fa42-cf58-4c22-8b93-58cf1d3bd1cb_Method">
    <vt:lpwstr>Standard</vt:lpwstr>
  </property>
  <property fmtid="{D5CDD505-2E9C-101B-9397-08002B2CF9AE}" pid="18" name="MSIP_Label_1520fa42-cf58-4c22-8b93-58cf1d3bd1cb_Name">
    <vt:lpwstr>Public Information</vt:lpwstr>
  </property>
  <property fmtid="{D5CDD505-2E9C-101B-9397-08002B2CF9AE}" pid="19" name="MSIP_Label_1520fa42-cf58-4c22-8b93-58cf1d3bd1cb_SiteId">
    <vt:lpwstr>11d0e217-264e-400a-8ba0-57dcc127d72d</vt:lpwstr>
  </property>
  <property fmtid="{D5CDD505-2E9C-101B-9397-08002B2CF9AE}" pid="20" name="MSIP_Label_1520fa42-cf58-4c22-8b93-58cf1d3bd1cb_ActionId">
    <vt:lpwstr>600a338c-98b0-4d8b-8646-c50cb6ab6526</vt:lpwstr>
  </property>
  <property fmtid="{D5CDD505-2E9C-101B-9397-08002B2CF9AE}" pid="21" name="MSIP_Label_1520fa42-cf58-4c22-8b93-58cf1d3bd1cb_ContentBits">
    <vt:lpwstr>0</vt:lpwstr>
  </property>
  <property fmtid="{D5CDD505-2E9C-101B-9397-08002B2CF9AE}" pid="22" name="MSIP_Label_1520fa42-cf58-4c22-8b93-58cf1d3bd1cb_Tag">
    <vt:lpwstr>10, 3, 0, 2</vt:lpwstr>
  </property>
</Properties>
</file>