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2"/>
          <w:szCs w:val="32"/>
          <w:u w:val="single"/>
          <w:shd w:fill="auto" w:val="clear"/>
          <w:vertAlign w:val="baseline"/>
        </w:rPr>
      </w:pPr>
      <w:r w:rsidDel="00000000" w:rsidR="00000000" w:rsidRPr="00000000">
        <w:rPr>
          <w:rFonts w:ascii="Arial" w:cs="Arial" w:eastAsia="Arial" w:hAnsi="Arial"/>
          <w:b w:val="1"/>
          <w:i w:val="0"/>
          <w:smallCaps w:val="0"/>
          <w:strike w:val="0"/>
          <w:color w:val="000000"/>
          <w:sz w:val="32"/>
          <w:szCs w:val="32"/>
          <w:u w:val="single"/>
          <w:shd w:fill="auto" w:val="clear"/>
          <w:vertAlign w:val="baseline"/>
          <w:rtl w:val="0"/>
        </w:rPr>
        <w:t xml:space="preserve">Investigative Report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State Investigation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 of Investigation: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XX/XX/XX</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Intake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List of concerns reported in the original complaint.)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Respondent is alleged to have disclosed protected health information on the patient (18 years old) to the patient’s parent, without consent of the patient. Patient does not reside with the parent or in the family home. It is alleged the assessments were given to the parent.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Allegation/s: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allegation/s listed below is what the department has jurisdiction and authorization to investigate. An allegation is considered an assertion of improper practice or condition that could result in a violation of facility law or rule.)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ind w:right="280"/>
        <w:rPr>
          <w:rFonts w:ascii="Arial" w:cs="Arial" w:eastAsia="Arial" w:hAnsi="Arial"/>
        </w:rPr>
      </w:pPr>
      <w:r w:rsidDel="00000000" w:rsidR="00000000" w:rsidRPr="00000000">
        <w:rPr>
          <w:rFonts w:ascii="Arial" w:cs="Arial" w:eastAsia="Arial" w:hAnsi="Arial"/>
          <w:b w:val="1"/>
          <w:rtl w:val="0"/>
        </w:rPr>
        <w:t xml:space="preserve">BHA: </w:t>
      </w:r>
      <w:r w:rsidDel="00000000" w:rsidR="00000000" w:rsidRPr="00000000">
        <w:rPr>
          <w:rFonts w:ascii="Arial" w:cs="Arial" w:eastAsia="Arial" w:hAnsi="Arial"/>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ind w:right="28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246-341-0410, Agency administration - Administrator key responsibilities, by failing to ensure that administrative, personnel, and clinical policies and procedures were adhered to and by failing to ensure that there was a written internal quality management plan that was developed and maintained that continuously improved the quality of care in response to critical incidents and substantiated complaints.   </w:t>
      </w:r>
    </w:p>
    <w:p w:rsidR="00000000" w:rsidDel="00000000" w:rsidP="00000000" w:rsidRDefault="00000000" w:rsidRPr="00000000" w14:paraId="00000010">
      <w:pPr>
        <w:numPr>
          <w:ilvl w:val="0"/>
          <w:numId w:val="1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246-341-0420, Agency policies and procedures, by failing to develop a policy that directed staff to report to the department within 48 hours of any critical incident, including the death of a patient.   </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246-341-0425, Individual service record system, by failing to allow the department access to the patient’s clinical record.  </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246-341-0600, Individual rights, by failing to ensure that the patient and the patient’s rights were protected and by failing to ensure that the patient received a written copy of their rights on or before admission.  </w:t>
      </w:r>
    </w:p>
    <w:p w:rsidR="00000000" w:rsidDel="00000000" w:rsidP="00000000" w:rsidRDefault="00000000" w:rsidRPr="00000000" w14:paraId="00000013">
      <w:pPr>
        <w:numPr>
          <w:ilvl w:val="0"/>
          <w:numId w:val="1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246-341-0640, Individual service record content, by failing to complete an age-appropriate assessment, strengths-based psychosocial assessment that considered the current needs of the patient, by failing to complete an assessment of risk to self or others, and by failing to complete an assessment using American Society of Addiction Medicine (ASAM) criteria.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right="280"/>
        <w:rPr>
          <w:rFonts w:ascii="Arial" w:cs="Arial" w:eastAsia="Arial" w:hAnsi="Arial"/>
        </w:rPr>
      </w:pPr>
      <w:r w:rsidDel="00000000" w:rsidR="00000000" w:rsidRPr="00000000">
        <w:rPr>
          <w:rFonts w:ascii="Arial" w:cs="Arial" w:eastAsia="Arial" w:hAnsi="Arial"/>
          <w:b w:val="1"/>
          <w:rtl w:val="0"/>
        </w:rPr>
        <w:t xml:space="preserve">RTF: </w:t>
      </w:r>
      <w:r w:rsidDel="00000000" w:rsidR="00000000" w:rsidRPr="00000000">
        <w:rPr>
          <w:rFonts w:ascii="Arial" w:cs="Arial" w:eastAsia="Arial" w:hAnsi="Arial"/>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right="28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246-337-045, Governance and administration, by failing to adopt and review a policy that addressed sufficient resources for the patient and by failing to ensure that staff who provided direct resident care, direct treatment, or managed the safety of a patient, were competent by training, experience, and capability.   </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246-337-048, Quality improvement program, by failing to establish a written performance improvement plan and by failing to collect, measure, and assess data on policies and procedures, and outcomes related to patient care, including the death of a patient.   </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246-337-065, Safety and security, by failing to report to the department by the end of the next business day, serious or undesirable outcomes that occurred in the facility, including the death of a patient and by failure to protect a patients safety by not developing policies and procedures that addressed completing resident searches.  </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246-337-075, Resident rights, by failing to ensure the patient had a safe and clean environment.  </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246-337-080, Resident care services, by failing to limit admission, transfer, discharge, and referral processes to patients for whom the RTF is qualified by staff, services, and equipment to provide safe care, by failing to refer patient’s for health care provided outside of the RTF, by failing to provide access to a health assessment by a health care prescriber any time a patient exhibits signs and symptoms of an injury, illness or abnormality for which a medical diagnosis and treatment are indicated, and by failing to address a serious illness, medical emergencies, or threat to life, including observing the patient for signs and symptoms of any illness or trauma.    </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246-337-100, Resident’s individual service plan, by failing to develop and implement a service plan for the patient based on the initial health of the patient at the time of admission.  </w:t>
      </w:r>
    </w:p>
    <w:p w:rsidR="00000000" w:rsidDel="00000000" w:rsidP="00000000" w:rsidRDefault="00000000" w:rsidRPr="00000000" w14:paraId="0000001E">
      <w:pPr>
        <w:numPr>
          <w:ilvl w:val="0"/>
          <w:numId w:val="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246-337-105, Medication management, by failing to ensure that all medications administered, observed being self-administered, or involuntarily administered were documented on the medication administration record (MAR).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headerReference r:id="rId6" w:type="default"/>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PowerPlusWaterMarkObject1" style="position:absolute;width:467.95pt;height:200.55pt;rotation:0;z-index:-503316481;mso-position-horizontal-relative:margin;mso-position-horizontal:center;mso-position-vertical-relative:margin;mso-position-vertical:center;" fillcolor="#c0c0c0" stroked="f" type="#_x0000_t136">
          <v:fill angle="0" opacity="32768f"/>
          <v:textpath fitshape="t" string="SAMPLE" style="font-family:&amp;quot;Calibri&amp;quot;;font-size:1pt;"/>
        </v:shape>
      </w:pic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Facility Name: Behavioral Health Agency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Case/Intake Number: 20XX-XXXX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7"/>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0x010100261AC9B43F7CBB489153C42AD9B48A5B</vt:lpwstr>
  </property>
  <property fmtid="{D5CDD505-2E9C-101B-9397-08002B2CF9AE}" pid="3" name="_dlc_DocIdItemGuid">
    <vt:lpwstr>6b75d872-2807-4de2-a5de-f00d834872d6</vt:lpwstr>
  </property>
  <property fmtid="{D5CDD505-2E9C-101B-9397-08002B2CF9AE}" pid="4" name="MSIP_Label_1520fa42-cf58-4c22-8b93-58cf1d3bd1cb_Enabled">
    <vt:lpwstr>true</vt:lpwstr>
  </property>
  <property fmtid="{D5CDD505-2E9C-101B-9397-08002B2CF9AE}" pid="5" name="MSIP_Label_1520fa42-cf58-4c22-8b93-58cf1d3bd1cb_SetDate">
    <vt:lpwstr>2023-09-29T16:57:32Z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820e6fc7-49d2-45c9-8ec7-9ba70cf4045e</vt:lpwstr>
  </property>
  <property fmtid="{D5CDD505-2E9C-101B-9397-08002B2CF9AE}" pid="10" name="MSIP_Label_1520fa42-cf58-4c22-8b93-58cf1d3bd1cb_ContentBits">
    <vt:lpwstr>0</vt:lpwstr>
  </property>
  <property fmtid="{D5CDD505-2E9C-101B-9397-08002B2CF9AE}" pid="11" name="MediaServiceImageTags">
    <vt:lpwstr>MediaServiceImageTags</vt:lpwstr>
  </property>
  <property fmtid="{D5CDD505-2E9C-101B-9397-08002B2CF9AE}" pid="12" name="xd_ProgID">
    <vt:lpwstr>xd_ProgID</vt:lpwstr>
  </property>
  <property fmtid="{D5CDD505-2E9C-101B-9397-08002B2CF9AE}" pid="13" name="_dlc_DocId">
    <vt:lpwstr>PV25X54MA5AD-896105636-34</vt:lpwstr>
  </property>
  <property fmtid="{D5CDD505-2E9C-101B-9397-08002B2CF9AE}" pid="14" name="ComplianceAssetId">
    <vt:lpwstr>ComplianceAssetId</vt:lpwstr>
  </property>
  <property fmtid="{D5CDD505-2E9C-101B-9397-08002B2CF9AE}" pid="15" name="TemplateUrl">
    <vt:lpwstr>TemplateUrl</vt:lpwstr>
  </property>
  <property fmtid="{D5CDD505-2E9C-101B-9397-08002B2CF9AE}" pid="16" name="Program">
    <vt:lpwstr>;#Behavioral Health Investigation;#</vt:lpwstr>
  </property>
  <property fmtid="{D5CDD505-2E9C-101B-9397-08002B2CF9AE}" pid="17" name="_ExtendedDescription">
    <vt:lpwstr>_ExtendedDescription</vt:lpwstr>
  </property>
  <property fmtid="{D5CDD505-2E9C-101B-9397-08002B2CF9AE}" pid="18" name="TriggerFlowInfo">
    <vt:lpwstr>TriggerFlowInfo</vt:lpwstr>
  </property>
  <property fmtid="{D5CDD505-2E9C-101B-9397-08002B2CF9AE}" pid="19" name="Document Type">
    <vt:lpwstr>Training</vt:lpwstr>
  </property>
  <property fmtid="{D5CDD505-2E9C-101B-9397-08002B2CF9AE}" pid="20" name="_dlc_DocIdUrl">
    <vt:lpwstr>https://stateofwa.sharepoint.com/sites/DOH-hsqa/oii/_layouts/15/DocIdRedir.aspx?ID=PV25X54MA5AD-896105636-34, PV25X54MA5AD-896105636-34</vt:lpwstr>
  </property>
  <property fmtid="{D5CDD505-2E9C-101B-9397-08002B2CF9AE}" pid="21" name="xd_Signature">
    <vt:lpwstr>false</vt:lpwstr>
  </property>
</Properties>
</file>