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Buscar Endereço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Buscar Endereço na API ViaCEP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campo referente ao CEP do endereço deve ser recebido como parâmetro.</w:t>
      </w:r>
    </w:p>
    <w:p w:rsidR="00000000" w:rsidDel="00000000" w:rsidP="00000000" w:rsidRDefault="00000000" w:rsidRPr="00000000" w14:paraId="0000000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0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informa um número de CEP em um formulário referente ao endereço de Gestores, Despachantes, Corretores, Secretárias, Imobiliárias, Imóveis, Proprietários ou Clientes. Recebendo como parâmetro, o CEP informado.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realiza uma consulta externa na API ViaCEP repassando o número de CEP informado pelo usuário.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recebe o retorno em formato JSON com o endereço completo referente ao número de CEP informado pelo usuário.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os dados recebidos.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1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dados de endereço correspondente ao número do CEP informado pelo usuário são preenchidos automaticamente pelo sistema.</w:t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Buscar Endereço Inválido na API ViaCEP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F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campo referente ao CEP do endereço deve ser recebido como parâmetro.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Buscar Endereço na API ViaCEP</w:t>
      </w:r>
      <w:r w:rsidDel="00000000" w:rsidR="00000000" w:rsidRPr="00000000">
        <w:rPr>
          <w:sz w:val="24"/>
          <w:szCs w:val="24"/>
          <w:rtl w:val="0"/>
        </w:rPr>
        <w:t xml:space="preserve"> a API não encontra o endereço correspondente ao número de CEP informado.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recebe o retorno em formato JSON com uma propriedade chamada erro.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do fluxo principal.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de endereço correspondente ao número de CEP informado pelo usuário não são preenchidos automaticamente pelo sistema, sendo necessário que o usuário preencha-os manualmente.</w:t>
      </w:r>
    </w:p>
    <w:p w:rsidR="00000000" w:rsidDel="00000000" w:rsidP="00000000" w:rsidRDefault="00000000" w:rsidRPr="00000000" w14:paraId="0000002D">
      <w:pPr>
        <w:spacing w:after="1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31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3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3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40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Extensão (Pode estar em um documento separado)</w:t>
      </w:r>
    </w:p>
    <w:p w:rsidR="00000000" w:rsidDel="00000000" w:rsidP="00000000" w:rsidRDefault="00000000" w:rsidRPr="00000000" w14:paraId="0000004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4.7803230306315"/>
        <w:gridCol w:w="3730.8972688809217"/>
        <w:gridCol w:w="4219.83421911207"/>
        <w:tblGridChange w:id="0">
          <w:tblGrid>
            <w:gridCol w:w="1074.7803230306315"/>
            <w:gridCol w:w="3730.8972688809217"/>
            <w:gridCol w:w="4219.83421911207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 Estendido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Condição de Disparo</w:t>
            </w:r>
          </w:p>
        </w:tc>
      </w:tr>
      <w:tr>
        <w:trPr>
          <w:cantSplit w:val="0"/>
          <w:trHeight w:val="2263.78906249999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Gestor - Cadastrar Gestores, Alterar Gestores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usuário informa um número de CEP em um formulário referente ao endereço de Gestores.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Despachantes - Cadastrar Despachantes, Alterar Despachantes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 usuário informa um número de CEP em um formulário referente ao endereço de Despachantes.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Corretores - Cadastrar Corretores, Alterar Corretores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 usuário informa um número de CEP em um formulário referente ao endereço de Corretores.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Secretárias – Cadastrar Secretárias, Alterar Secretárias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 usuário informa um número de CEP em um formulário referente ao endereço de Secretárias.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Imobiliárias – Cadastrar Imobiliárias, Alterar Imobiliárias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 usuário informa um número de CEP em um formulário referente ao endereço de Imobiliárias.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PE06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Imóveis - Cadastrar Imóveis, Alterar Imóveis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 usuário informa um número de CEP em um formulário referente ao endereço de Imóveis.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PE07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Proprietários - Cadastrar Proprietários, Alterar Proprietários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 usuário informa um número de CEP em um formulário referente ao endereço de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Proprietários.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Clientes - Cadastrar Clientes, Alterar Clientes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um usuário informa um número de CEP em um formulário referente ao endereço de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