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A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3415" cy="20955"/>
                <wp:effectExtent l="0" t="0" r="0" b="0"/>
                <wp:docPr id="1" name="Forma1"/>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 xml:space="preserve">Nome: </w:t>
      </w:r>
      <w:r>
        <w:rPr>
          <w:rFonts w:eastAsia="Montserrat" w:cs="Montserrat"/>
          <w:b/>
          <w:sz w:val="24"/>
          <w:szCs w:val="24"/>
        </w:rPr>
        <w:t>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 xml:space="preserve">Nome: </w:t>
      </w:r>
      <w:r>
        <w:rPr>
          <w:rFonts w:eastAsia="Montserrat" w:cs="Montserrat"/>
          <w:b/>
          <w:sz w:val="24"/>
          <w:szCs w:val="24"/>
        </w:rPr>
        <w:t>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3415" cy="20955"/>
                <wp:effectExtent l="0" t="0" r="0" b="0"/>
                <wp:docPr id="2" name="Forma2"/>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3415" cy="20955"/>
                <wp:effectExtent l="0" t="0" r="0" b="0"/>
                <wp:docPr id="3" name="Forma3"/>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3415" cy="20955"/>
                <wp:effectExtent l="0" t="0" r="0" b="0"/>
                <wp:docPr id="4" name="Forma4"/>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3415" cy="20955"/>
                <wp:effectExtent l="0" t="0" r="0" b="0"/>
                <wp:docPr id="5" name="Forma5"/>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3415" cy="20955"/>
                <wp:effectExtent l="0" t="0" r="0" b="0"/>
                <wp:docPr id="6" name="Forma6"/>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Gerais</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externos um endereço público para cada imobiliária cadastrada que ao ser acessado, deve exibir todos os imóveis que ainda não estão em negociação ou que estejam em negociação, mas com status de prospecção, visita ou rejeitado</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das leads cadastradas no sistema</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direcionamento de um negocio com status proposta para um gestor, a negociação deve conter um cliente, um imóvel e a ficha de visita anexada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3415" cy="20955"/>
                <wp:effectExtent l="0" t="0" r="0" b="0"/>
                <wp:docPr id="7" name="Forma7"/>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10</Pages>
  <Words>2111</Words>
  <Characters>11406</Characters>
  <CharactersWithSpaces>13304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2021-07-26T20:39:58Z</dcterms:modified>
  <cp:revision>4</cp:revision>
  <dc:subject/>
  <dc:title/>
</cp:coreProperties>
</file>