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  <w:lang w:eastAsia="en-US"/>
        </w:rPr>
        <w:t>Wellington Aparecido Felix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2"/>
          <w:szCs w:val="22"/>
          <w:lang w:eastAsia="en-US"/>
        </w:rPr>
        <w:t xml:space="preserve">IMOB </w:t>
      </w:r>
      <w:r>
        <w:rPr>
          <w:rFonts w:ascii="Arial" w:hAnsi="Arial"/>
          <w:b/>
          <w:bCs/>
          <w:sz w:val="22"/>
          <w:szCs w:val="22"/>
          <w:lang w:eastAsia="en-US"/>
        </w:rPr>
        <w:t>Web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eastAsia="Calibri" w:cs="Arial" w:ascii="Arial" w:hAnsi="Arial"/>
          <w:color w:val="222222"/>
          <w:kern w:val="0"/>
          <w:sz w:val="24"/>
          <w:szCs w:val="24"/>
          <w:shd w:fill="FFFFFF" w:val="clear"/>
          <w:lang w:val="pt-BR" w:eastAsia="en-US" w:bidi="ar-SA"/>
        </w:rPr>
        <w:t>2021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spacing w:lineRule="auto" w:line="360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4532087">
            <w:r>
              <w:rPr>
                <w:webHidden/>
                <w:rStyle w:val="Vnculodendice"/>
                <w:vanish w:val="false"/>
              </w:rPr>
              <w:t>1. Apresentação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8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9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0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2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3">
            <w:r>
              <w:rPr>
                <w:webHidden/>
                <w:rStyle w:val="Vnculodendice"/>
                <w:vanish w:val="false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4">
            <w:r>
              <w:rPr>
                <w:webHidden/>
                <w:rStyle w:val="Vnculodendice"/>
                <w:vanish w:val="false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5">
            <w:r>
              <w:rPr>
                <w:webHidden/>
                <w:rStyle w:val="Vnculodendice"/>
                <w:vanish w:val="false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6">
            <w:r>
              <w:rPr>
                <w:webHidden/>
                <w:rStyle w:val="Vnculodendice"/>
                <w:vanish w:val="false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8">
            <w:r>
              <w:rPr>
                <w:webHidden/>
                <w:rStyle w:val="Vnculodendice"/>
                <w:vanish w:val="false"/>
                <w:lang w:eastAsia="pt-BR"/>
              </w:rPr>
              <w:t xml:space="preserve">3.1. Arquitetura de </w:t>
            </w:r>
            <w:r>
              <w:rPr>
                <w:rStyle w:val="Vnculodendice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9">
            <w:r>
              <w:rPr>
                <w:webHidden/>
                <w:rStyle w:val="Vnculodendice"/>
                <w:vanish w:val="false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2">
            <w:r>
              <w:rPr>
                <w:webHidden/>
                <w:rStyle w:val="Vnculodendice"/>
                <w:vanish w:val="false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3">
            <w:r>
              <w:rPr>
                <w:webHidden/>
                <w:rStyle w:val="Vnculodendice"/>
                <w:vanish w:val="false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4">
            <w:r>
              <w:rPr>
                <w:webHidden/>
                <w:rStyle w:val="Vnculodendice"/>
                <w:vanish w:val="false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header="0" w:top="1701" w:footer="0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1" w:name="_Toc74532088"/>
      <w:bookmarkStart w:id="2" w:name="_Toc297133343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setor imobiliário brasileiro vem crescendo ano após ano.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cs="Arial" w:ascii="Arial" w:hAnsi="Arial"/>
          <w:sz w:val="24"/>
          <w:szCs w:val="24"/>
          <w:lang w:eastAsia="pt-BR"/>
        </w:rPr>
        <w:t>s imóveis, além de representar independência, conforto e praticidade, são uma forma de investimento. Atualmente, mais da metade das famílias brasileiras possuem o desejo de adquirir um imóvel (RIBEIRO, DIANA, 2021). Graças ao cenário atual, com juros baixos e disponibilidade de crédito pelos bancos ficou fácil ter acesso à esse sonho (ARTUR NOGUEIRA, LUÍS, 2021).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Mesmo durante a pandemia, o setor cresceu em 2020 e a previsão é de um crescimento maior que 30%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no financiamento de imóveis (RODRIGUES, EDUARDO; DE CASTRO FABRÍCIO, 2021). Apesar da crescente demanda dos brasileiros por imóveis, o processo de compra e venda de imóveis no Brasil não é simples, se dá em diversas etapas e, por se tratar de algo que envolve inúmeros documentos e termos do mercado imobiliário, é preciso estar preparado para percorrer a jornada sem contratempos.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As imobiliárias são responsáveis por lidar com essa demanda, fazendo a intermediação entre proprietário e cliente (comprador), cuidando de toda parte documental e também da aprovação do financiamento junto aos bancos. Além dos trâmites que envolvem a compra e venda dos imóveis, elas precisam lidar com as informações de proprietários, imóveis, clientes, funcionários e comissões. Somente com o controle preciso dessa alta carga de informações e documentos é possível concluir o sonho da casa própria.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Para um melhor entendimento do contexto e modelo de négocio do setor imobiliário, favor acessar o APÊNDICE A – Canvas da Proposta de Valor e o APÊNDICE B – Business Model Canvas.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3" w:name="_Toc74532089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A IMOB </w:t>
      </w:r>
      <w:r>
        <w:rPr>
          <w:rFonts w:cs="Arial" w:ascii="Arial" w:hAnsi="Arial"/>
          <w:sz w:val="24"/>
          <w:szCs w:val="24"/>
          <w:lang w:eastAsia="pt-BR"/>
        </w:rPr>
        <w:t xml:space="preserve">Web </w:t>
      </w:r>
      <w:r>
        <w:rPr>
          <w:rFonts w:cs="Arial" w:ascii="Arial" w:hAnsi="Arial"/>
          <w:sz w:val="24"/>
          <w:szCs w:val="24"/>
          <w:lang w:eastAsia="pt-BR"/>
        </w:rPr>
        <w:t>se destina aos colaboradores do setor imobiliário. Por terem que lidar com várias etapas durante todo o processo de venda do imóvel, às tarefas são divididas, tendo pessoas atuando em diferentes frentes e a cada etapa concluída a negociação é repassada para outro profissional dar seguimento ao processo.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4" w:name="_Toc74532090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C9211E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Para visualizar os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 requisitos funcionais e não funcionais da aplicação, favor acessar o APÊNDICE C – Elicitação de Requisitos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color w:val="FF4000"/>
        </w:rPr>
      </w:pPr>
      <w:r>
        <w:rPr>
          <w:rFonts w:cs="Arial" w:ascii="Arial" w:hAnsi="Arial"/>
          <w:color w:val="FF4000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jc w:val="both"/>
        <w:rPr/>
      </w:pPr>
      <w:r>
        <w:rPr>
          <w:rFonts w:cs="Arial" w:ascii="Arial" w:hAnsi="Arial"/>
          <w:color w:val="C9211E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ciclo de trabalho dentro da corretora imobiliária se inicia com as secretárias, 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elas são responsáveis pelo </w:t>
      </w:r>
      <w:r>
        <w:rPr>
          <w:rFonts w:cs="Arial" w:ascii="Arial" w:hAnsi="Arial"/>
          <w:sz w:val="24"/>
          <w:szCs w:val="24"/>
          <w:lang w:eastAsia="pt-BR"/>
        </w:rPr>
        <w:t>primeiro contato com o cliente que já identificou um imóvel de seu interesse, ela abre uma negociação para que um corretor possa  marcar uma visita junto ao cliente no imóvel. O corretor é responsável por fazer essa ligação entre cliente e proprietário, além de captar novos imóveis para venda, ele repassa as negociações para os gestores que precisam avaliá-las e repassá-las aos despachantes para aprovação junto aos bancos. Além dos papéis citados acima, é necessário o papel de administrador que terá permissão total no sistema e será utilizado pela área de T.I.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Pensando nesse ci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clo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, a proposta é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 xml:space="preserve">construir </w:t>
      </w:r>
      <w:r>
        <w:rPr>
          <w:rFonts w:cs="Arial" w:ascii="Arial" w:hAnsi="Arial"/>
          <w:color w:val="000000"/>
          <w:sz w:val="24"/>
          <w:szCs w:val="24"/>
          <w:lang w:eastAsia="pt-BR"/>
        </w:rPr>
        <w:t>uma solução simples, segura, prática e que traga clareza nas informações e resultados que precisam ser acessados no dia a dia dessas pessoas.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color w:val="FF4000"/>
        </w:rPr>
      </w:pPr>
      <w:r>
        <w:rPr>
          <w:rFonts w:cs="Arial" w:ascii="Arial" w:hAnsi="Arial"/>
          <w:color w:val="FF4000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 fluxo do usuário no sistema 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Se necessário, use um diagrama de estados para representar o comportamento de uma interface ou fluxo de um processo associado à funcionalidade em questão.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Descreva o padrão arquitetural que sua aplicação adotará (cliente-servidor, MVC, P2P, etc.), justificando a escolha de cada opção tecnológica.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cs="Arial" w:ascii="Arial" w:hAnsi="Arial"/>
          <w:sz w:val="24"/>
          <w:szCs w:val="24"/>
        </w:rPr>
        <w:t xml:space="preserve">Apresente diagramas que retratem a arquitetura da solução (recomenda-se o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modelo C4</w:t>
        </w:r>
      </w:hyperlink>
      <w:r>
        <w:rPr>
          <w:rFonts w:cs="Arial" w:ascii="Arial" w:hAnsi="Arial"/>
          <w:sz w:val="24"/>
          <w:szCs w:val="24"/>
        </w:rPr>
        <w:t>) com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Descreva como a informação estará organizada na aplicação – hierarquias, categorias, rótulos (palavras-chave), etc.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navegação, os mecanismos de busca e de recuperação de informações. Opcionalmente inclua um diagrama hierárquico que mostre como as funcionalidades estão distribuídas pelo sistema.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os planos de testes (testes de software, testes heurísticos ou testes de usabilidade) além dos registros de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spacing w:lineRule="auto" w:line="360"/>
        <w:jc w:val="center"/>
        <w:rPr>
          <w:rFonts w:ascii="Arial" w:hAnsi="Arial"/>
        </w:rPr>
      </w:pPr>
      <w:bookmarkStart w:id="19" w:name="_Toc74532105"/>
      <w:bookmarkStart w:id="20" w:name="_Toc297133353"/>
      <w:bookmarkStart w:id="21" w:name="_Toc351475134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RODRIGUES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EDUARDO; DE CASTRO, FABRÍCIO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Financiamento imobiliário dispara, bate recorde e projeta alta de 34% para o ano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UOL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Brasília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ESTADÂO Conteúdo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11/05/2021 às 13h00 atualizada em 11/05/2021 às 17h07</w:t>
      </w:r>
      <w:r>
        <w:rPr>
          <w:rFonts w:cs="Arial" w:ascii="Arial" w:hAnsi="Arial"/>
          <w:sz w:val="24"/>
          <w:szCs w:val="24"/>
        </w:rPr>
        <w:t>. Disponível em: &lt;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https://economia.uol.com.br/noticias/estadao-conteudo/2021/05/11/financiamento-imobiliario-dispara-bate-recorde-e-projeta-alta-de-34-para-o-ano.htm</w:t>
        </w:r>
      </w:hyperlink>
      <w:r>
        <w:rPr>
          <w:rFonts w:cs="Arial" w:ascii="Arial" w:hAnsi="Arial"/>
          <w:sz w:val="24"/>
          <w:szCs w:val="24"/>
        </w:rPr>
        <w:t>&gt;. Acessado em: 21/07/2021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ARTUR NOGUEIRA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LUÍS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Descomplicando a Economia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Terra Economia. Edição Nº 123116,07.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Editora Três,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12/05/2021 às 13h24. Disponível em: &lt;</w:t>
      </w:r>
      <w:hyperlink r:id="rId4">
        <w:r>
          <w:rPr>
            <w:rStyle w:val="LinkdaInternet"/>
            <w:rFonts w:eastAsia="Calibri" w:cs="Arial" w:ascii="Arial" w:hAnsi="Arial"/>
            <w:color w:val="auto"/>
            <w:kern w:val="0"/>
            <w:sz w:val="24"/>
            <w:szCs w:val="24"/>
            <w:lang w:val="pt-BR" w:eastAsia="en-US" w:bidi="ar-SA"/>
          </w:rPr>
          <w:t>https://www.istoedinheiro.com.br/qual-e-o-milagre-do-setor-imobiliario</w:t>
        </w:r>
      </w:hyperlink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&gt;. Acessado em: 21/07/2021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RIBEIRO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DIANA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Sonho da casa própria: mais de 13 milhões de famílias pretendem comprar imóvel em até 2 anos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6Minutos.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30/03/2021 às 11h56</w:t>
      </w:r>
      <w:r>
        <w:rPr>
          <w:rFonts w:cs="Arial" w:ascii="Arial" w:hAnsi="Arial"/>
          <w:sz w:val="24"/>
          <w:szCs w:val="24"/>
        </w:rPr>
        <w:t>. Disponível em: &lt;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https://6minutos.uol.com.br/minhas-financas/sonho-da-casa-propria-mais-de-13-milhoes-de-familias-pretendem-comprar-imovel-em-ate-2-anos/</w:t>
        </w:r>
      </w:hyperlink>
      <w:r>
        <w:rPr>
          <w:rFonts w:cs="Arial" w:ascii="Arial" w:hAnsi="Arial"/>
          <w:sz w:val="24"/>
          <w:szCs w:val="24"/>
        </w:rPr>
        <w:t>&gt;. Acessado em: 21/07/2021.</w:t>
      </w:r>
    </w:p>
    <w:p>
      <w:pPr>
        <w:pStyle w:val="Normal"/>
        <w:suppressAutoHyphens w:val="true"/>
        <w:spacing w:lineRule="auto" w:line="360" w:before="200" w:after="0"/>
        <w:jc w:val="center"/>
        <w:rPr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APÊNDICE</w:t>
      </w:r>
    </w:p>
    <w:sectPr>
      <w:headerReference w:type="default" r:id="rId6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4model.com/" TargetMode="External"/><Relationship Id="rId3" Type="http://schemas.openxmlformats.org/officeDocument/2006/relationships/hyperlink" Target="https://economia.uol.com.br/noticias/estadao-conteudo/2021/05/11/financiamento-imobiliario-dispara-bate-recorde-e-projeta-alta-de-34-para-o-ano.htm" TargetMode="External"/><Relationship Id="rId4" Type="http://schemas.openxmlformats.org/officeDocument/2006/relationships/hyperlink" Target="https://www.istoedinheiro.com.br/qual-e-o-milagre-do-setor-imobiliario" TargetMode="External"/><Relationship Id="rId5" Type="http://schemas.openxmlformats.org/officeDocument/2006/relationships/hyperlink" Target="https://6minutos.uol.com.br/minhas-financas/sonho-da-casa-propria-mais-de-13-milhoes-de-familias-pretendem-comprar-imovel-em-ate-2-anos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LibreOffice/6.4.7.2$Linux_X86_64 LibreOffice_project/40$Build-2</Application>
  <Pages>8</Pages>
  <Words>1393</Words>
  <Characters>7840</Characters>
  <CharactersWithSpaces>9170</CharactersWithSpaces>
  <Paragraphs>79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2021-08-01T21:19:12Z</dcterms:modified>
  <cp:revision>14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