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5A24"/>
          <w:sz w:val="48"/>
        </w:rPr>
        <w:t>ViVi PARK × 旺來</w:t>
        <w:br/>
        <w:t>商開會議報告口稿與應答手冊</w:t>
      </w:r>
    </w:p>
    <w:p>
      <w:pPr>
        <w:jc w:val="center"/>
      </w:pPr>
      <w:r>
        <w:rPr>
          <w:i/>
        </w:rPr>
        <w:t>會前複習、逐頁口稿、合作方案、商業模型與現場 Q&amp;A</w:t>
        <w:br/>
        <w:t>會議日期：2026 年 6 月 11 日 15:00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這份文件怎麼用</w:t>
            </w:r>
          </w:p>
          <w:p>
            <w:pPr>
              <w:spacing w:after="0"/>
            </w:pPr>
            <w:r>
              <w:t>會議前先讀「一頁速記」與「不能直接答應的事項」；報告前複習逐頁口稿；現場遇到商業、分潤、智慧櫃或風險問題時，直接查閱對應章節。</w:t>
            </w:r>
          </w:p>
        </w:tc>
      </w:tr>
    </w:tbl>
    <w:p/>
    <w:p>
      <w:pPr>
        <w:pStyle w:val="Heading1"/>
      </w:pPr>
      <w:r>
        <w:t>一頁速記：今天要談成什麼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會議目標</w:t>
            </w:r>
          </w:p>
        </w:tc>
      </w:tr>
      <w:tr>
        <w:tc>
          <w:tcPr>
            <w:tcW w:type="dxa" w:w="1701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核心定位</w:t>
            </w:r>
          </w:p>
        </w:tc>
        <w:tc>
          <w:tcPr>
            <w:tcW w:type="dxa" w:w="765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旺來成為 ViVi 生活服務生態系中的家庭能源品類合作夥伴。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第一階段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先談 APP 上架、票券／序號核銷、會員導流與成交分潤。</w:t>
            </w:r>
          </w:p>
        </w:tc>
      </w:tr>
      <w:tr>
        <w:tc>
          <w:tcPr>
            <w:tcW w:type="dxa" w:w="1701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第二階段</w:t>
            </w:r>
          </w:p>
        </w:tc>
        <w:tc>
          <w:tcPr>
            <w:tcW w:type="dxa" w:w="765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智慧櫃體採一場一審，由營運／風險單位另行評估。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希望取得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確認首波品項、上架規格、核銷流程、分潤計算、PoC KPI 與下一步窗口。</w:t>
            </w:r>
          </w:p>
        </w:tc>
      </w:tr>
      <w:tr>
        <w:tc>
          <w:tcPr>
            <w:tcW w:type="dxa" w:w="1701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不要變成</w:t>
            </w:r>
          </w:p>
        </w:tc>
        <w:tc>
          <w:tcPr>
            <w:tcW w:type="dxa" w:w="765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不要只談放櫃體、不要當場無條件接受 20%、不要把推估會員數當官方事實。</w:t>
            </w:r>
          </w:p>
        </w:tc>
      </w:tr>
    </w:tbl>
    <w:p/>
    <w:p>
      <w:pPr>
        <w:pStyle w:val="Heading1"/>
      </w:pPr>
      <w:r>
        <w:t>會議開場與收尾</w:t>
      </w:r>
    </w:p>
    <w:p>
      <w:pPr>
        <w:pStyle w:val="Heading2"/>
      </w:pPr>
      <w:r>
        <w:t>建議開場</w:t>
      </w:r>
    </w:p>
    <w:p>
      <w:r>
        <w:t>Phoebe 您好，也謝謝 ViVi PARK 商開團隊安排這次會議。今天我們希望先承接貴司回信提到的會員導流、APP 商品或服務上架、票券核銷與分潤合作。旺來希望討論的不是單純放置設備，而是家庭能源服務能否成為 ViVi 生活服務生態系中，一個可商品化、可核銷、可履約，也可透過數據驗證的新服務品類。</w:t>
      </w:r>
    </w:p>
    <w:p>
      <w:pPr>
        <w:pStyle w:val="Heading2"/>
      </w:pPr>
      <w:r>
        <w:t>建議收尾</w:t>
      </w:r>
    </w:p>
    <w:p>
      <w:r>
        <w:t>今天我們希望先確認一個低風險、可量測、可回顧的第一階段合作模型。若方向可行，旺來會依 ViVi 的上架規格補齊首波商品與服務清單、核銷方式、素材需求及 90 天 PoC 指標；智慧櫃體則依一場一審原則，另提供風險與營運資料供相關單位評估。</w:t>
      </w:r>
    </w:p>
    <w:p>
      <w:pPr>
        <w:pStyle w:val="Heading1"/>
      </w:pPr>
      <w:r>
        <w:t>逐頁報告口稿</w:t>
      </w:r>
    </w:p>
    <w:p>
      <w:pPr>
        <w:pStyle w:val="Heading2"/>
      </w:pPr>
      <w:r>
        <w:t>第 1 頁｜ViVi 可把停車會員，升級為生活服務交易入口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這頁目的</w:t>
            </w:r>
          </w:p>
          <w:p>
            <w:pPr>
              <w:spacing w:after="0"/>
            </w:pPr>
            <w:r>
              <w:t>先把合作定位說清楚，避免對方以為旺來只想進場放設備。</w:t>
            </w:r>
          </w:p>
        </w:tc>
      </w:tr>
    </w:tbl>
    <w:p/>
    <w:p>
      <w:pPr>
        <w:spacing w:after="120"/>
      </w:pPr>
      <w:r>
        <w:rPr>
          <w:b/>
          <w:color w:val="F05A24"/>
        </w:rPr>
        <w:t>建議口稿</w:t>
        <w:br/>
      </w:r>
      <w:r>
        <w:t>ViVi 已經具備 APP、會員、Vi 幣、票券與線下場站。旺來可以補上的，是家庭能源這個具明確需求、可回購、也能由旺來承接履約的生活服務品類。今天我們想先討論：旺來服務能否透過 ViVi APP 成為新的交易與會員互動場景；智慧櫃則作為另一條可獨立評估的線下合作線。</w:t>
      </w:r>
    </w:p>
    <w:p>
      <w:r>
        <w:rPr>
          <w:b/>
        </w:rPr>
        <w:t>轉場句：</w:t>
      </w:r>
      <w:r>
        <w:t>因此，我們先從 ViVi 已經具備的平台資產開始看。</w:t>
      </w:r>
    </w:p>
    <w:p>
      <w:pPr>
        <w:pStyle w:val="Heading2"/>
      </w:pPr>
      <w:r>
        <w:t>第 2 頁｜ViVi 真正的資產不是車位，而是會員、支付、票券與場站觸點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這頁目的</w:t>
            </w:r>
          </w:p>
          <w:p>
            <w:pPr>
              <w:spacing w:after="0"/>
            </w:pPr>
            <w:r>
              <w:t>表達旺來理解 ViVi 的平台價值，而不是把對方當場地主。</w:t>
            </w:r>
          </w:p>
        </w:tc>
      </w:tr>
    </w:tbl>
    <w:p/>
    <w:p>
      <w:pPr>
        <w:spacing w:after="120"/>
      </w:pPr>
      <w:r>
        <w:rPr>
          <w:b/>
          <w:color w:val="F05A24"/>
        </w:rPr>
        <w:t>建議口稿</w:t>
        <w:br/>
      </w:r>
      <w:r>
        <w:t>我們對 ViVi 的理解是：核心資產不只在停車格，而在會員關係、Vi 幣與票券交易能力、停車與生活服務流量入口，以及線下場站觸點。這使 ViVi 有條件把新的生活服務品類快速帶到車主會員面前，再以實際交易判斷是否值得放大。</w:t>
      </w:r>
    </w:p>
    <w:p>
      <w:r>
        <w:rPr>
          <w:b/>
        </w:rPr>
        <w:t>轉場句：</w:t>
      </w:r>
      <w:r>
        <w:t>既然 ViVi 是平台，下一個問題就是：旺來可以補上什麼品類缺口？</w:t>
      </w:r>
    </w:p>
    <w:p>
      <w:r>
        <w:rPr>
          <w:b/>
          <w:color w:val="C00000"/>
        </w:rPr>
        <w:t>注意：</w:t>
      </w:r>
      <w:r>
        <w:t>300+、700 場站等數字以 ViVi 官方最新口徑為準；不要主動宣稱未確認會員總數。</w:t>
      </w:r>
    </w:p>
    <w:p>
      <w:pPr>
        <w:pStyle w:val="Heading2"/>
      </w:pPr>
      <w:r>
        <w:t>第 3 頁｜家庭能源能補上 ViVi 生態圈中的剛性、可回購品類缺口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這頁目的</w:t>
            </w:r>
          </w:p>
          <w:p>
            <w:pPr>
              <w:spacing w:after="0"/>
            </w:pPr>
            <w:r>
              <w:t>說明家庭能源不是一般優惠券，而是可能形成回購與履約關係的品類。</w:t>
            </w:r>
          </w:p>
        </w:tc>
      </w:tr>
    </w:tbl>
    <w:p/>
    <w:p>
      <w:pPr>
        <w:spacing w:after="120"/>
      </w:pPr>
      <w:r>
        <w:rPr>
          <w:b/>
          <w:color w:val="F05A24"/>
        </w:rPr>
        <w:t>建議口稿</w:t>
        <w:br/>
      </w:r>
      <w:r>
        <w:t>ViVi 已經透過停車、點數與票券創造會員互動。家庭能源的不同，在於需求明確、具回購性，且可以形成客服、配送、自取與長期服務關係。若第一階段的票券與服務核銷成立，ViVi 的平台飛輪就能增加一個非停車型的生活服務交易場景。</w:t>
      </w:r>
    </w:p>
    <w:p>
      <w:r>
        <w:rPr>
          <w:b/>
        </w:rPr>
        <w:t>轉場句：</w:t>
      </w:r>
      <w:r>
        <w:t>這個新場景對 ViVi 的價值，可以拆成五個具體方向。</w:t>
      </w:r>
    </w:p>
    <w:p>
      <w:pPr>
        <w:pStyle w:val="Heading2"/>
      </w:pPr>
      <w:r>
        <w:t>第 4 頁｜Revenue／Traffic／Retention／Differentiation／ESG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這頁目的</w:t>
            </w:r>
          </w:p>
          <w:p>
            <w:pPr>
              <w:spacing w:after="0"/>
            </w:pPr>
            <w:r>
              <w:t>用五個價值槓桿回答「ViVi 為什麼要合作」。</w:t>
            </w:r>
          </w:p>
        </w:tc>
      </w:tr>
    </w:tbl>
    <w:p/>
    <w:p>
      <w:pPr>
        <w:spacing w:after="120"/>
      </w:pPr>
      <w:r>
        <w:rPr>
          <w:b/>
          <w:color w:val="F05A24"/>
        </w:rPr>
        <w:t>建議口稿</w:t>
        <w:br/>
      </w:r>
      <w:r>
        <w:t>我們把合作價值拆成五個面向。Revenue 是成交後的分潤；Traffic 是雙方會員互相接觸；Retention 是增加會員回訪與持續使用理由；Differentiation 是讓 ViVi 從智慧停車延伸為車主生活服務平台；ESG 則是數位票券、安全治理與未來可管理線下節點的案例。五項不是五個專案，而是衡量合作值不值得繼續的五種價值。</w:t>
      </w:r>
    </w:p>
    <w:p>
      <w:r>
        <w:rPr>
          <w:b/>
        </w:rPr>
        <w:t>轉場句：</w:t>
      </w:r>
      <w:r>
        <w:t>合作可能很多，但第一階段必須收斂。</w:t>
      </w:r>
    </w:p>
    <w:p>
      <w:r>
        <w:rPr>
          <w:b/>
          <w:color w:val="C00000"/>
        </w:rPr>
        <w:t>注意：</w:t>
      </w:r>
      <w:r>
        <w:t>ESG 不要講成主要收益；它是加分與治理價值。</w:t>
      </w:r>
    </w:p>
    <w:p>
      <w:pPr>
        <w:pStyle w:val="Heading2"/>
      </w:pPr>
      <w:r>
        <w:t>第 5 頁｜30+ 合作想法收斂成三條第一階段主線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這頁目的</w:t>
            </w:r>
          </w:p>
          <w:p>
            <w:pPr>
              <w:spacing w:after="0"/>
            </w:pPr>
            <w:r>
              <w:t>展現有完整思考，但不讓會議失焦。</w:t>
            </w:r>
          </w:p>
        </w:tc>
      </w:tr>
    </w:tbl>
    <w:p/>
    <w:p>
      <w:pPr>
        <w:spacing w:after="120"/>
      </w:pPr>
      <w:r>
        <w:rPr>
          <w:b/>
          <w:color w:val="F05A24"/>
        </w:rPr>
        <w:t>建議口稿</w:t>
        <w:br/>
      </w:r>
      <w:r>
        <w:t>會員、支付、點數、票券、通路、場站、智慧櫃、數據、ESG 與 B2B 都有合作可能。但若第一階段全部展開，執行成本會太高。因此建議先收斂為會員導流、票券／點數與 APP 特約商店上架三條主線；智慧櫃則採一場一審，由另一條營運與風險流程評估。</w:t>
      </w:r>
    </w:p>
    <w:p>
      <w:r>
        <w:rPr>
          <w:b/>
        </w:rPr>
        <w:t>轉場句：</w:t>
      </w:r>
      <w:r>
        <w:t>接著用影響與執行難度，決定先做什麼。</w:t>
      </w:r>
    </w:p>
    <w:p>
      <w:pPr>
        <w:pStyle w:val="Heading2"/>
      </w:pPr>
      <w:r>
        <w:t>第 6 頁｜先選高影響、低投入的驗證項目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這頁目的</w:t>
            </w:r>
          </w:p>
          <w:p>
            <w:pPr>
              <w:spacing w:after="0"/>
            </w:pPr>
            <w:r>
              <w:t>讓合作順序有邏輯，而不是空泛列出券種。</w:t>
            </w:r>
          </w:p>
        </w:tc>
      </w:tr>
    </w:tbl>
    <w:p/>
    <w:p>
      <w:pPr>
        <w:spacing w:after="120"/>
      </w:pPr>
      <w:r>
        <w:rPr>
          <w:b/>
          <w:color w:val="F05A24"/>
        </w:rPr>
        <w:t>建議口稿</w:t>
        <w:br/>
      </w:r>
      <w:r>
        <w:t>第一波建議先測試首購券，確認 ViVi 會員是否願意成為旺來新客；第二步用會員專屬券，確認 ViVi 會員權益是否能提高領券與核銷；第三步才測補充服務券，確認是否形成回購。智慧櫃可同步提供風險資料與候選場站條件，但實際設置採一場一審。</w:t>
      </w:r>
    </w:p>
    <w:p>
      <w:r>
        <w:rPr>
          <w:b/>
        </w:rPr>
        <w:t>轉場句：</w:t>
      </w:r>
      <w:r>
        <w:t>如果先從票券開始，交易與核銷流程需要怎麼設計？</w:t>
      </w:r>
    </w:p>
    <w:p>
      <w:pPr>
        <w:pStyle w:val="Heading2"/>
      </w:pPr>
      <w:r>
        <w:t>第 7 頁｜票券／序號模式與 20% 分潤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這頁目的</w:t>
            </w:r>
          </w:p>
          <w:p>
            <w:pPr>
              <w:spacing w:after="0"/>
            </w:pPr>
            <w:r>
              <w:t>把雙方責任、交易流程與分潤討論講清楚。</w:t>
            </w:r>
          </w:p>
        </w:tc>
      </w:tr>
    </w:tbl>
    <w:p/>
    <w:p>
      <w:pPr>
        <w:spacing w:after="120"/>
      </w:pPr>
      <w:r>
        <w:rPr>
          <w:b/>
          <w:color w:val="F05A24"/>
        </w:rPr>
        <w:t>建議口稿</w:t>
        <w:br/>
      </w:r>
      <w:r>
        <w:t>建議流程是 ViVi APP 上架商品或服務券，會員購買或領取後取得序號，再到旺來平台完成資格確認、核銷與履約，月底依有效成交資料對帳。ViVi 提出的 20% 可作為討論基礎，但需要先確認計算基礎、折扣、稅金、退款、配送費及有效成交定義，並依不同品項毛利評估。</w:t>
      </w:r>
    </w:p>
    <w:p>
      <w:r>
        <w:rPr>
          <w:b/>
        </w:rPr>
        <w:t>轉場句：</w:t>
      </w:r>
      <w:r>
        <w:t>交易模型成立後，才有條件精準設計會員導流。</w:t>
      </w:r>
    </w:p>
    <w:p>
      <w:r>
        <w:rPr>
          <w:b/>
          <w:color w:val="C00000"/>
        </w:rPr>
        <w:t>注意：</w:t>
      </w:r>
      <w:r>
        <w:t>不要當場承諾所有品項固定 20%；可以說『以 20% 作為討論基礎，需依品項與履約成本確認』。</w:t>
      </w:r>
    </w:p>
    <w:p>
      <w:pPr>
        <w:pStyle w:val="Heading2"/>
      </w:pPr>
      <w:r>
        <w:t>第 8 頁｜會員導流先用可驗證假設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這頁目的</w:t>
            </w:r>
          </w:p>
          <w:p>
            <w:pPr>
              <w:spacing w:after="0"/>
            </w:pPr>
            <w:r>
              <w:t>避免用沒有根據的會員總數或人口統計說服對方。</w:t>
            </w:r>
          </w:p>
        </w:tc>
      </w:tr>
    </w:tbl>
    <w:p/>
    <w:p>
      <w:pPr>
        <w:spacing w:after="120"/>
      </w:pPr>
      <w:r>
        <w:rPr>
          <w:b/>
          <w:color w:val="F05A24"/>
        </w:rPr>
        <w:t>建議口稿</w:t>
        <w:br/>
      </w:r>
      <w:r>
        <w:t>目前已知 ViVi 會員集中雙北與高雄、旺來會員集中台中，這是雙方區域互補的基礎。但第一波不應假設全體會員都會轉換，而應請 ViVi 協助定義可測試會員池，例如近 90 天活躍會員、特定區域會員或曾使用生活服務的會員，再觀察曝光、點擊、領券與成交。</w:t>
      </w:r>
    </w:p>
    <w:p>
      <w:r>
        <w:rPr>
          <w:b/>
        </w:rPr>
        <w:t>轉場句：</w:t>
      </w:r>
      <w:r>
        <w:t>因此第九頁的數字不是營收承諾，而是 PoC 的測量方法。</w:t>
      </w:r>
    </w:p>
    <w:p>
      <w:pPr>
        <w:pStyle w:val="Heading2"/>
      </w:pPr>
      <w:r>
        <w:t>第 9 頁｜90 天 PoC 敏感度模型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這頁目的</w:t>
            </w:r>
          </w:p>
          <w:p>
            <w:pPr>
              <w:spacing w:after="0"/>
            </w:pPr>
            <w:r>
              <w:t>用簡單數學說明要收集什麼數據，以及如何判斷合作是否值得繼續。</w:t>
            </w:r>
          </w:p>
        </w:tc>
      </w:tr>
    </w:tbl>
    <w:p/>
    <w:p>
      <w:pPr>
        <w:spacing w:after="120"/>
      </w:pPr>
      <w:r>
        <w:rPr>
          <w:b/>
          <w:color w:val="F05A24"/>
        </w:rPr>
        <w:t>建議口稿</w:t>
        <w:br/>
      </w:r>
      <w:r>
        <w:t>第九頁以每 10,000 名可觸達會員為測算單位。先看有多少人點擊，再看點擊者中有多少人成交。成交訂單乘以平均客單價，就是 GMV；GMV 再乘以雙方約定的分潤比例，才是 ViVi 可能取得的分潤。這些是敏感度情境，不是預測；目的是在 PoC 前先把數據欄位與決策標準講清楚。</w:t>
      </w:r>
    </w:p>
    <w:p>
      <w:r>
        <w:rPr>
          <w:b/>
        </w:rPr>
        <w:t>轉場句：</w:t>
      </w:r>
      <w:r>
        <w:t>除了線上交易，另一條合作線是智慧櫃的一場一審。</w:t>
      </w:r>
    </w:p>
    <w:p>
      <w:pPr>
        <w:pStyle w:val="Heading2"/>
      </w:pPr>
      <w:r>
        <w:t>第 10 頁｜智慧櫃體進入一場一審的 Business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這頁目的</w:t>
            </w:r>
          </w:p>
          <w:p>
            <w:pPr>
              <w:spacing w:after="0"/>
            </w:pPr>
            <w:r>
              <w:t>回應對方對電力、菸蒂、安全與場站營運的疑問，並取得下一步窗口。</w:t>
            </w:r>
          </w:p>
        </w:tc>
      </w:tr>
    </w:tbl>
    <w:p/>
    <w:p>
      <w:pPr>
        <w:spacing w:after="120"/>
      </w:pPr>
      <w:r>
        <w:rPr>
          <w:b/>
          <w:color w:val="F05A24"/>
        </w:rPr>
        <w:t>建議口稿</w:t>
        <w:br/>
      </w:r>
      <w:r>
        <w:t>智慧櫃體不會以所有場站通用的方式推進，而是每一個候選場站分別確認通風、供電、動線、防撞、監控、保險、權責與現場管理。旺來負責提供設備、安全、補貨、客服、保險與異常處理資料；ViVi 保留場站管理與品牌審查權。今天希望確認是否能由商開協助轉交風險資料，並安排營運或風險窗口進行下一步評估。</w:t>
      </w:r>
    </w:p>
    <w:p>
      <w:r>
        <w:rPr>
          <w:b/>
        </w:rPr>
        <w:t>轉場句：</w:t>
      </w:r>
      <w:r>
        <w:t>最後請雙方確認首波品項、交易流程、分潤規則、PoC 與智慧櫃評估窗口。</w:t>
      </w:r>
    </w:p>
    <w:p>
      <w:pPr>
        <w:pStyle w:val="Heading1"/>
      </w:pPr>
      <w:r>
        <w:t>商業名詞白話解釋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361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名詞</w:t>
            </w:r>
          </w:p>
        </w:tc>
        <w:tc>
          <w:tcPr>
            <w:tcW w:type="dxa" w:w="3969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白話意思</w:t>
            </w:r>
          </w:p>
        </w:tc>
        <w:tc>
          <w:tcPr>
            <w:tcW w:type="dxa" w:w="3969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本案怎麼用</w:t>
            </w:r>
          </w:p>
        </w:tc>
      </w:tr>
      <w:tr>
        <w:tc>
          <w:tcPr>
            <w:tcW w:type="dxa" w:w="1361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GMV</w:t>
            </w:r>
          </w:p>
        </w:tc>
        <w:tc>
          <w:tcPr>
            <w:tcW w:type="dxa" w:w="3969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透過 ViVi 成功成交的訂單總金額，不等於旺來營收或獲利。</w:t>
            </w:r>
          </w:p>
        </w:tc>
        <w:tc>
          <w:tcPr>
            <w:tcW w:type="dxa" w:w="3969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成交訂單數 × 平均客單價。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20% 分潤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每筆有效成交中，ViVi 希望取得成交金額的 20%。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需確認計算基礎、退款、折扣、配送費、稅金與品項差異。</w:t>
            </w:r>
          </w:p>
        </w:tc>
      </w:tr>
      <w:tr>
        <w:tc>
          <w:tcPr>
            <w:tcW w:type="dxa" w:w="1361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CPA</w:t>
            </w:r>
          </w:p>
        </w:tc>
        <w:tc>
          <w:tcPr>
            <w:tcW w:type="dxa" w:w="3969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按指定成果付費，例如每取得一名有效新會員支付固定費用。</w:t>
            </w:r>
          </w:p>
        </w:tc>
        <w:tc>
          <w:tcPr>
            <w:tcW w:type="dxa" w:w="3969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適合純會員導流，但需定義什麼是有效會員。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CPS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實際成交後才按比例分潤。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ViVi 信中的 20% 分潤較接近 CPS。</w:t>
            </w:r>
          </w:p>
        </w:tc>
      </w:tr>
      <w:tr>
        <w:tc>
          <w:tcPr>
            <w:tcW w:type="dxa" w:w="1361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CTR</w:t>
            </w:r>
          </w:p>
        </w:tc>
        <w:tc>
          <w:tcPr>
            <w:tcW w:type="dxa" w:w="3969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看到活動的人之中，有多少人點擊。</w:t>
            </w:r>
          </w:p>
        </w:tc>
        <w:tc>
          <w:tcPr>
            <w:tcW w:type="dxa" w:w="3969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點擊人數 ÷ 曝光人數。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轉換率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點擊或領券的人之中，有多少人最後成交。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成交訂單 ÷ 點擊或領券人數。</w:t>
            </w:r>
          </w:p>
        </w:tc>
      </w:tr>
      <w:tr>
        <w:tc>
          <w:tcPr>
            <w:tcW w:type="dxa" w:w="1361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AOV</w:t>
            </w:r>
          </w:p>
        </w:tc>
        <w:tc>
          <w:tcPr>
            <w:tcW w:type="dxa" w:w="3969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平均每筆訂單成交多少錢。</w:t>
            </w:r>
          </w:p>
        </w:tc>
        <w:tc>
          <w:tcPr>
            <w:tcW w:type="dxa" w:w="3969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GMV ÷ 成交訂單數。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PoC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小規模驗證，不是一開始全面合作。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用 90 天測試交易、核銷、會員反應與履約成本。</w:t>
            </w:r>
          </w:p>
        </w:tc>
      </w:tr>
      <w:tr>
        <w:tc>
          <w:tcPr>
            <w:tcW w:type="dxa" w:w="1361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Business Case</w:t>
            </w:r>
          </w:p>
        </w:tc>
        <w:tc>
          <w:tcPr>
            <w:tcW w:type="dxa" w:w="3969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針對單一場站，判斷收益、成本、風險與責任是否合理。</w:t>
            </w:r>
          </w:p>
        </w:tc>
        <w:tc>
          <w:tcPr>
            <w:tcW w:type="dxa" w:w="3969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智慧櫃採一場一審。</w:t>
            </w:r>
          </w:p>
        </w:tc>
      </w:tr>
    </w:tbl>
    <w:p/>
    <w:p>
      <w:pPr>
        <w:pStyle w:val="Heading1"/>
      </w:pPr>
      <w:r>
        <w:t>20% 分潤：現場怎麼談</w:t>
      </w:r>
    </w:p>
    <w:p>
      <w:r>
        <w:t>ViVi 信中的概念可理解為：ViVi 提供 APP、會員流量、上架與交易入口；旺來提供商品、核銷、履約、客服與售後；有效成交後，ViVi 希望取得 20%。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範例</w:t>
            </w:r>
          </w:p>
        </w:tc>
        <w:tc>
          <w:tcPr>
            <w:tcW w:type="dxa" w:w="453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一筆服務券成交價</w:t>
            </w:r>
          </w:p>
        </w:tc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1,000 元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ViVi 若按成交價取得 20%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200 元</w:t>
            </w:r>
          </w:p>
        </w:tc>
      </w:tr>
      <w:tr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旺來帳面取得</w:t>
            </w:r>
          </w:p>
        </w:tc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800 元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旺來仍需負擔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商品、配送、客服、退款、營運與稅務成本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建議回答</w:t>
            </w:r>
          </w:p>
          <w:p>
            <w:pPr>
              <w:spacing w:after="0"/>
            </w:pPr>
            <w:r>
              <w:t>我們理解 ViVi 以 20% 作為特約商店合作期待。旺來願意以此作為討論基礎，但不同品項的商品成本、配送與履約責任不同，希望先確認計算基礎與有效成交定義，再共同選出適合測試的品項。</w:t>
            </w:r>
          </w:p>
        </w:tc>
      </w:tr>
    </w:tbl>
    <w:p/>
    <w:p>
      <w:pPr>
        <w:pStyle w:val="Heading2"/>
      </w:pPr>
      <w:r>
        <w:t>20% 分潤必問八題</w:t>
      </w:r>
    </w:p>
    <w:p>
      <w:pPr>
        <w:pStyle w:val="ListNumber"/>
        <w:spacing w:after="60"/>
      </w:pPr>
      <w:r>
        <w:t>20% 以原價、折扣後售價、含稅或未稅金額計算？</w:t>
      </w:r>
    </w:p>
    <w:p>
      <w:pPr>
        <w:pStyle w:val="ListNumber"/>
        <w:spacing w:after="60"/>
      </w:pPr>
      <w:r>
        <w:t>購買即算成交，還是完成核銷／履約才算成交？</w:t>
      </w:r>
    </w:p>
    <w:p>
      <w:pPr>
        <w:pStyle w:val="ListNumber"/>
        <w:spacing w:after="60"/>
      </w:pPr>
      <w:r>
        <w:t>優惠折扣由 ViVi、旺來或雙方共同負擔？</w:t>
      </w:r>
    </w:p>
    <w:p>
      <w:pPr>
        <w:pStyle w:val="ListNumber"/>
        <w:spacing w:after="60"/>
      </w:pPr>
      <w:r>
        <w:t>金流手續費由誰負擔？</w:t>
      </w:r>
    </w:p>
    <w:p>
      <w:pPr>
        <w:pStyle w:val="ListNumber"/>
        <w:spacing w:after="60"/>
      </w:pPr>
      <w:r>
        <w:t>退款、取消、未核銷票券如何處理？</w:t>
      </w:r>
    </w:p>
    <w:p>
      <w:pPr>
        <w:pStyle w:val="ListNumber"/>
        <w:spacing w:after="60"/>
      </w:pPr>
      <w:r>
        <w:t>配送費是否也納入 20% 分潤？</w:t>
      </w:r>
    </w:p>
    <w:p>
      <w:pPr>
        <w:pStyle w:val="ListNumber"/>
        <w:spacing w:after="60"/>
      </w:pPr>
      <w:r>
        <w:t>實體商品、服務券與會員導流是否適用相同分潤？</w:t>
      </w:r>
    </w:p>
    <w:p>
      <w:pPr>
        <w:pStyle w:val="ListNumber"/>
        <w:spacing w:after="60"/>
      </w:pPr>
      <w:r>
        <w:t>是否可依品項毛利設定不同分潤或採階梯式分潤？</w:t>
      </w:r>
    </w:p>
    <w:p>
      <w:pPr>
        <w:pStyle w:val="Heading1"/>
      </w:pPr>
      <w:r>
        <w:t>五大價值槓桿的本質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槓桿</w:t>
            </w:r>
          </w:p>
        </w:tc>
        <w:tc>
          <w:tcPr>
            <w:tcW w:type="dxa" w:w="2438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本質問題</w:t>
            </w:r>
          </w:p>
        </w:tc>
        <w:tc>
          <w:tcPr>
            <w:tcW w:type="dxa" w:w="3402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ViVi 可能得到</w:t>
            </w:r>
          </w:p>
        </w:tc>
        <w:tc>
          <w:tcPr>
            <w:tcW w:type="dxa" w:w="1984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 KPI</w:t>
            </w:r>
          </w:p>
        </w:tc>
      </w:tr>
      <w:tr>
        <w:tc>
          <w:tcPr>
            <w:tcW w:type="dxa" w:w="1417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Revenue</w:t>
            </w:r>
          </w:p>
        </w:tc>
        <w:tc>
          <w:tcPr>
            <w:tcW w:type="dxa" w:w="2438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合作能不能增加收入？</w:t>
            </w:r>
          </w:p>
        </w:tc>
        <w:tc>
          <w:tcPr>
            <w:tcW w:type="dxa" w:w="3402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商品／服務成交分潤。</w:t>
            </w:r>
          </w:p>
        </w:tc>
        <w:tc>
          <w:tcPr>
            <w:tcW w:type="dxa" w:w="198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GMV、成交數、分潤收入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Traffic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合作能不能帶來更多可接觸客戶？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雙北／高雄與台中會員互導。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曝光、點擊、新會員</w:t>
            </w:r>
          </w:p>
        </w:tc>
      </w:tr>
      <w:tr>
        <w:tc>
          <w:tcPr>
            <w:tcW w:type="dxa" w:w="1417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Retention</w:t>
            </w:r>
          </w:p>
        </w:tc>
        <w:tc>
          <w:tcPr>
            <w:tcW w:type="dxa" w:w="2438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會員會不會更常回來？</w:t>
            </w:r>
          </w:p>
        </w:tc>
        <w:tc>
          <w:tcPr>
            <w:tcW w:type="dxa" w:w="3402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增加 APP、票券與生活服務使用理由。</w:t>
            </w:r>
          </w:p>
        </w:tc>
        <w:tc>
          <w:tcPr>
            <w:tcW w:type="dxa" w:w="198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回訪率、回購率、核銷率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Differentiation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ViVi 是否變得更難被取代？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從智慧停車延伸為車主生活服務平台。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新品類數、會員使用場景</w:t>
            </w:r>
          </w:p>
        </w:tc>
      </w:tr>
      <w:tr>
        <w:tc>
          <w:tcPr>
            <w:tcW w:type="dxa" w:w="1417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ESG</w:t>
            </w:r>
          </w:p>
        </w:tc>
        <w:tc>
          <w:tcPr>
            <w:tcW w:type="dxa" w:w="2438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是否形成治理、安全或永續案例？</w:t>
            </w:r>
          </w:p>
        </w:tc>
        <w:tc>
          <w:tcPr>
            <w:tcW w:type="dxa" w:w="3402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數位票券、安全可管理的能源服務節點。</w:t>
            </w:r>
          </w:p>
        </w:tc>
        <w:tc>
          <w:tcPr>
            <w:tcW w:type="dxa" w:w="198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紙本減量、異常率、治理文件</w:t>
            </w:r>
          </w:p>
        </w:tc>
      </w:tr>
    </w:tbl>
    <w:p/>
    <w:p>
      <w:pPr>
        <w:pStyle w:val="Heading1"/>
      </w:pPr>
      <w:r>
        <w:t>四階段合作執行方案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191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1984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66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具體方案</w:t>
            </w:r>
          </w:p>
        </w:tc>
        <w:tc>
          <w:tcPr>
            <w:tcW w:type="dxa" w:w="266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執行工作</w:t>
            </w:r>
          </w:p>
        </w:tc>
        <w:tc>
          <w:tcPr>
            <w:tcW w:type="dxa" w:w="2154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判斷指標</w:t>
            </w:r>
          </w:p>
        </w:tc>
      </w:tr>
      <w:tr>
        <w:tc>
          <w:tcPr>
            <w:tcW w:type="dxa" w:w="1191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1. 首購券</w:t>
            </w:r>
          </w:p>
        </w:tc>
        <w:tc>
          <w:tcPr>
            <w:tcW w:type="dxa" w:w="198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測試 ViVi 會員是否願意第一次使用旺來。</w:t>
            </w:r>
          </w:p>
        </w:tc>
        <w:tc>
          <w:tcPr>
            <w:tcW w:type="dxa" w:w="266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新戶首購優惠、首次服務諮詢、指定區域新客方案。</w:t>
            </w:r>
          </w:p>
        </w:tc>
        <w:tc>
          <w:tcPr>
            <w:tcW w:type="dxa" w:w="266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ViVi 曝光／發券；旺來核銷、資格確認、履約。</w:t>
            </w:r>
          </w:p>
        </w:tc>
        <w:tc>
          <w:tcPr>
            <w:tcW w:type="dxa" w:w="215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點擊、領券、首購、獲客成本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2. 會員專屬券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增加 ViVi 會員權益與平台價值。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ViVi 限定價格、限定贈品、Vi 幣折抵或回饋。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共同設計會員限定素材與活動規則。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領券率、核銷率、Vi 幣使用、APP 回訪</w:t>
            </w:r>
          </w:p>
        </w:tc>
      </w:tr>
      <w:tr>
        <w:tc>
          <w:tcPr>
            <w:tcW w:type="dxa" w:w="1191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3. 補充服務券</w:t>
            </w:r>
          </w:p>
        </w:tc>
        <w:tc>
          <w:tcPr>
            <w:tcW w:type="dxa" w:w="198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驗證是否形成回購與持續交易。</w:t>
            </w:r>
          </w:p>
        </w:tc>
        <w:tc>
          <w:tcPr>
            <w:tcW w:type="dxa" w:w="266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補充服務優惠、回購券、預約配送／自取方案。</w:t>
            </w:r>
          </w:p>
        </w:tc>
        <w:tc>
          <w:tcPr>
            <w:tcW w:type="dxa" w:w="266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識別既有客戶、建立回購與客服流程。</w:t>
            </w:r>
          </w:p>
        </w:tc>
        <w:tc>
          <w:tcPr>
            <w:tcW w:type="dxa" w:w="215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回購率、回購間隔、會員終身價值、履約成本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4. 智慧櫃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建立線下自取、展示與履約節點。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依場站條件設置智慧櫃或展示節點。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每場確認通風、供電、動線、防撞、監控、保險與權責。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使用量、異常率、補貨效率、客訴、場站影響</w:t>
            </w:r>
          </w:p>
        </w:tc>
      </w:tr>
    </w:tbl>
    <w:p/>
    <w:p>
      <w:pPr>
        <w:pStyle w:val="Heading1"/>
      </w:pPr>
      <w:r>
        <w:t>建議交易流程與責任分工</w:t>
      </w:r>
    </w:p>
    <w:p>
      <w:pPr>
        <w:pStyle w:val="ListNumber"/>
        <w:spacing w:after="60"/>
      </w:pPr>
      <w:r>
        <w:t>ViVi APP 上架旺來商品、服務券或會員優惠。</w:t>
      </w:r>
    </w:p>
    <w:p>
      <w:pPr>
        <w:pStyle w:val="ListNumber"/>
        <w:spacing w:after="60"/>
      </w:pPr>
      <w:r>
        <w:t>ViVi 會員購買、領券或取得折扣／服務序號。</w:t>
      </w:r>
    </w:p>
    <w:p>
      <w:pPr>
        <w:pStyle w:val="ListNumber"/>
        <w:spacing w:after="60"/>
      </w:pPr>
      <w:r>
        <w:t>會員前往旺來指定頁面，輸入序號並確認服務資格、地區與需求。</w:t>
      </w:r>
    </w:p>
    <w:p>
      <w:pPr>
        <w:pStyle w:val="ListNumber"/>
        <w:spacing w:after="60"/>
      </w:pPr>
      <w:r>
        <w:t>旺來完成核銷、客服、配送、自取或其他履約。</w:t>
      </w:r>
    </w:p>
    <w:p>
      <w:pPr>
        <w:pStyle w:val="ListNumber"/>
        <w:spacing w:after="60"/>
      </w:pPr>
      <w:r>
        <w:t>旺來回傳有效成交、退款與核銷資料。</w:t>
      </w:r>
    </w:p>
    <w:p>
      <w:pPr>
        <w:pStyle w:val="ListNumber"/>
        <w:spacing w:after="60"/>
      </w:pPr>
      <w:r>
        <w:t>雙方每月依約定口徑對帳，ViVi 取得分潤。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00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ViVi 主要負責</w:t>
            </w:r>
          </w:p>
        </w:tc>
        <w:tc>
          <w:tcPr>
            <w:tcW w:type="dxa" w:w="300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旺來主要負責</w:t>
            </w:r>
          </w:p>
        </w:tc>
        <w:tc>
          <w:tcPr>
            <w:tcW w:type="dxa" w:w="300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雙方共同確認</w:t>
            </w:r>
          </w:p>
        </w:tc>
      </w:tr>
      <w:tr>
        <w:tc>
          <w:tcPr>
            <w:tcW w:type="dxa" w:w="300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APP 上架與會員曝光</w:t>
            </w:r>
          </w:p>
        </w:tc>
        <w:tc>
          <w:tcPr>
            <w:tcW w:type="dxa" w:w="300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商品／服務設計與供應</w:t>
            </w:r>
          </w:p>
        </w:tc>
        <w:tc>
          <w:tcPr>
            <w:tcW w:type="dxa" w:w="300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上架規格與審稿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票券、訂單或序號資訊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序號核銷與資格確認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有效成交定義</w:t>
            </w:r>
          </w:p>
        </w:tc>
      </w:tr>
      <w:tr>
        <w:tc>
          <w:tcPr>
            <w:tcW w:type="dxa" w:w="300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行銷素材投放與會員入口</w:t>
            </w:r>
          </w:p>
        </w:tc>
        <w:tc>
          <w:tcPr>
            <w:tcW w:type="dxa" w:w="300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客服、配送、自取、售後與退款處理</w:t>
            </w:r>
          </w:p>
        </w:tc>
        <w:tc>
          <w:tcPr>
            <w:tcW w:type="dxa" w:w="300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分潤、對帳與資料欄位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月結資料與平台規則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回傳成交、核銷及異常資料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個資、品牌與客訴處理</w:t>
            </w:r>
          </w:p>
        </w:tc>
      </w:tr>
    </w:tbl>
    <w:p/>
    <w:p>
      <w:pPr>
        <w:pStyle w:val="Heading1"/>
      </w:pPr>
      <w:r>
        <w:t>第九頁完整解讀：數字怎麼算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EA"/>
          </w:tcPr>
          <w:p>
            <w:pPr>
              <w:spacing w:after="80"/>
            </w:pPr>
            <w:r>
              <w:rPr>
                <w:b/>
                <w:color w:val="F05A24"/>
              </w:rPr>
              <w:t>核心公式</w:t>
            </w:r>
          </w:p>
          <w:p>
            <w:pPr>
              <w:spacing w:after="0"/>
            </w:pPr>
            <w:r>
              <w:t>可觸達會員數 × 點擊率 × 成交轉換率 = 成交訂單數；成交訂單數 × 平均客單價 = GMV；GMV × 分潤比例 = ViVi 分潤。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基本情境範例</w:t>
            </w:r>
          </w:p>
        </w:tc>
        <w:tc>
          <w:tcPr>
            <w:tcW w:type="dxa" w:w="453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</w:t>
            </w:r>
          </w:p>
        </w:tc>
      </w:tr>
      <w:tr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可觸達會員</w:t>
            </w:r>
          </w:p>
        </w:tc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10,000 人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點擊率 4%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400 人點擊</w:t>
            </w:r>
          </w:p>
        </w:tc>
      </w:tr>
      <w:tr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點擊後成交率 10%</w:t>
            </w:r>
          </w:p>
        </w:tc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40 筆成交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平均客單價 1,000 元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GMV = 40,000 元</w:t>
            </w:r>
          </w:p>
        </w:tc>
      </w:tr>
      <w:tr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若 ViVi 分潤 20%</w:t>
            </w:r>
          </w:p>
        </w:tc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ViVi 分潤 = 8,000 元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旺來帳面取得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32,000 元，仍需扣除商品與履約成本</w:t>
            </w:r>
          </w:p>
        </w:tc>
      </w:tr>
    </w:tbl>
    <w:p/>
    <w:p>
      <w:r>
        <w:t>第九頁不是承諾一定成交 40 筆，而是告訴雙方 PoC 必須蒐集哪些資料。真正要比較的是：不同素材、品項、區域與會員分群，哪一種能以合理成本帶來成交與回購。</w:t>
      </w:r>
    </w:p>
    <w:p>
      <w:pPr>
        <w:pStyle w:val="Heading1"/>
      </w:pPr>
      <w:r>
        <w:t>現場可能被問的問題與建議回答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可能問題</w:t>
            </w:r>
          </w:p>
        </w:tc>
        <w:tc>
          <w:tcPr>
            <w:tcW w:type="dxa" w:w="6350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建議回答</w:t>
            </w:r>
          </w:p>
        </w:tc>
      </w:tr>
      <w:tr>
        <w:tc>
          <w:tcPr>
            <w:tcW w:type="dxa" w:w="28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為什麼 ViVi 會員會需要旺來？</w:t>
            </w:r>
          </w:p>
        </w:tc>
        <w:tc>
          <w:tcPr>
            <w:tcW w:type="dxa" w:w="6350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家庭能源具有明確需求與回購特性；但不預設所有會員都需要，建議以區域與活躍會員池先做小規模驗證。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為什麼不直接放智慧櫃？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智慧櫃可以獨立一場一審；先確認場站條件、會員需求與風險控制，避免設備設置後使用不足。</w:t>
            </w:r>
          </w:p>
        </w:tc>
      </w:tr>
      <w:tr>
        <w:tc>
          <w:tcPr>
            <w:tcW w:type="dxa" w:w="28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20% 分潤能不能接受？</w:t>
            </w:r>
          </w:p>
        </w:tc>
        <w:tc>
          <w:tcPr>
            <w:tcW w:type="dxa" w:w="6350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願意以 20% 作為討論基礎，但需依品項毛利、配送與履約成本確認計算基礎與有效成交定義。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旺來能上架什麼？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可先從新客首購、會員專屬優惠與服務券中選擇 1 至 3 項，再依 ViVi 上架規格調整。</w:t>
            </w:r>
          </w:p>
        </w:tc>
      </w:tr>
      <w:tr>
        <w:tc>
          <w:tcPr>
            <w:tcW w:type="dxa" w:w="28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核銷與客服誰處理？</w:t>
            </w:r>
          </w:p>
        </w:tc>
        <w:tc>
          <w:tcPr>
            <w:tcW w:type="dxa" w:w="6350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旺來可承接序號核銷、資格確認、客服、配送、自取、售後與異常處理。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ViVi 會員大約多少？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公開資料未揭露官方總數；為設計 PoC，更重要的是可觸達與近 90 天活躍會員池，建議由 ViVi 提供可測試口徑。</w:t>
            </w:r>
          </w:p>
        </w:tc>
      </w:tr>
      <w:tr>
        <w:tc>
          <w:tcPr>
            <w:tcW w:type="dxa" w:w="28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菸蒂會不會造成爆炸？</w:t>
            </w:r>
          </w:p>
        </w:tc>
        <w:tc>
          <w:tcPr>
            <w:tcW w:type="dxa" w:w="6350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不能用一句『不會』概括。風險取決於是否有洩漏、濃度、通風與點火源；因此需以設備防護、通風、偵測、禁菸、防撞及場站審查控制。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供電怎麼處理？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每個場站先確認合法接電方式、電箱距離、用電負載、費用與權責；條件不成立就不設置。</w:t>
            </w:r>
          </w:p>
        </w:tc>
      </w:tr>
      <w:tr>
        <w:tc>
          <w:tcPr>
            <w:tcW w:type="dxa" w:w="28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發生事故或客訴誰負責？</w:t>
            </w:r>
          </w:p>
        </w:tc>
        <w:tc>
          <w:tcPr>
            <w:tcW w:type="dxa" w:w="6350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設備、商品、補貨、客服、售後與異常由旺來承接；場站管理與品牌審查由 ViVi 保留，並事前約定事件分級、通報與保險。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合作成功後怎麼放大？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先看 90 天曝光、核銷、成交、回購與客服成本；數據成立後再增加品項、會員分群或評估更多場站。</w:t>
            </w:r>
          </w:p>
        </w:tc>
      </w:tr>
    </w:tbl>
    <w:p/>
    <w:p>
      <w:pPr>
        <w:pStyle w:val="Heading1"/>
      </w:pPr>
      <w:r>
        <w:t>智慧櫃一場一審：必備評估框架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評估項目</w:t>
            </w:r>
          </w:p>
        </w:tc>
        <w:tc>
          <w:tcPr>
            <w:tcW w:type="dxa" w:w="453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需確認內容</w:t>
            </w:r>
          </w:p>
        </w:tc>
        <w:tc>
          <w:tcPr>
            <w:tcW w:type="dxa" w:w="266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原則</w:t>
            </w:r>
          </w:p>
        </w:tc>
      </w:tr>
      <w:tr>
        <w:tc>
          <w:tcPr>
            <w:tcW w:type="dxa" w:w="198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通風與環境</w:t>
            </w:r>
          </w:p>
        </w:tc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是否為適合位置、通風條件、是否存在積聚風險。</w:t>
            </w:r>
          </w:p>
        </w:tc>
        <w:tc>
          <w:tcPr>
            <w:tcW w:type="dxa" w:w="266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條件不明確不設置。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供電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合法接電、電箱距離、負載、費用與權責。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每場獨立確認。</w:t>
            </w:r>
          </w:p>
        </w:tc>
      </w:tr>
      <w:tr>
        <w:tc>
          <w:tcPr>
            <w:tcW w:type="dxa" w:w="198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動線與防撞</w:t>
            </w:r>
          </w:p>
        </w:tc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不占車格、不擋車道、不影響行人，具必要防撞。</w:t>
            </w:r>
          </w:p>
        </w:tc>
        <w:tc>
          <w:tcPr>
            <w:tcW w:type="dxa" w:w="266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現勘後決定。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監控與異常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監控、偵測、斷電、警示、客服與通報流程。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事前定義 SOP。</w:t>
            </w:r>
          </w:p>
        </w:tc>
      </w:tr>
      <w:tr>
        <w:tc>
          <w:tcPr>
            <w:tcW w:type="dxa" w:w="1984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保險與責任</w:t>
            </w:r>
          </w:p>
        </w:tc>
        <w:tc>
          <w:tcPr>
            <w:tcW w:type="dxa" w:w="45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產品責任、公共意外、設備及營運責任。</w:t>
            </w:r>
          </w:p>
        </w:tc>
        <w:tc>
          <w:tcPr>
            <w:tcW w:type="dxa" w:w="266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合作前確認文件。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品牌與客訴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現場告示、對外說法、客訴與危機處理。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ViVi 保留品牌審查權。</w:t>
            </w:r>
          </w:p>
        </w:tc>
      </w:tr>
    </w:tbl>
    <w:p/>
    <w:p>
      <w:pPr>
        <w:pStyle w:val="Heading1"/>
      </w:pPr>
      <w:r>
        <w:t>會議中必須問清楚的問題</w:t>
      </w:r>
    </w:p>
    <w:p>
      <w:pPr>
        <w:pStyle w:val="ListNumber"/>
        <w:spacing w:after="60"/>
      </w:pPr>
      <w:r>
        <w:t>ViVi APP／特約商店目前可上架哪些商品與服務形式？</w:t>
      </w:r>
    </w:p>
    <w:p>
      <w:pPr>
        <w:pStyle w:val="ListNumber"/>
        <w:spacing w:after="60"/>
      </w:pPr>
      <w:r>
        <w:t>票券、折扣碼、服務序號與實體商品轉單，各自的標準流程是什麼？</w:t>
      </w:r>
    </w:p>
    <w:p>
      <w:pPr>
        <w:pStyle w:val="ListNumber"/>
        <w:spacing w:after="60"/>
      </w:pPr>
      <w:r>
        <w:t>20% 分潤的計算基礎、退款、折扣、稅金、配送費與月結規則為何？</w:t>
      </w:r>
    </w:p>
    <w:p>
      <w:pPr>
        <w:pStyle w:val="ListNumber"/>
        <w:spacing w:after="60"/>
      </w:pPr>
      <w:r>
        <w:t>第一波適合測試哪一個會員池：全體、近 90 天活躍、特定區域或特定行為會員？</w:t>
      </w:r>
    </w:p>
    <w:p>
      <w:pPr>
        <w:pStyle w:val="ListNumber"/>
        <w:spacing w:after="60"/>
      </w:pPr>
      <w:r>
        <w:t>ViVi 能提供哪些曝光位置、推播或會員溝通工具？</w:t>
      </w:r>
    </w:p>
    <w:p>
      <w:pPr>
        <w:pStyle w:val="ListNumber"/>
        <w:spacing w:after="60"/>
      </w:pPr>
      <w:r>
        <w:t>PoC 可取得哪些數據：曝光、點擊、領券、核銷、成交、退款與會員分群？</w:t>
      </w:r>
    </w:p>
    <w:p>
      <w:pPr>
        <w:pStyle w:val="ListNumber"/>
        <w:spacing w:after="60"/>
      </w:pPr>
      <w:r>
        <w:t>首波建議上架 1 至 3 個品項，ViVi 認為哪類最容易通過？</w:t>
      </w:r>
    </w:p>
    <w:p>
      <w:pPr>
        <w:pStyle w:val="ListNumber"/>
        <w:spacing w:after="60"/>
      </w:pPr>
      <w:r>
        <w:t>智慧櫃風險資料應由哪一個營運／風險窗口承接？</w:t>
      </w:r>
    </w:p>
    <w:p>
      <w:pPr>
        <w:pStyle w:val="ListNumber"/>
        <w:spacing w:after="60"/>
      </w:pPr>
      <w:r>
        <w:t>是否可先選 1 個候選場站進行文件與現勘初審？</w:t>
      </w:r>
    </w:p>
    <w:p>
      <w:pPr>
        <w:pStyle w:val="ListNumber"/>
        <w:spacing w:after="60"/>
      </w:pPr>
      <w:r>
        <w:t>會後雙方下一步、負責人與預計時間點為何？</w:t>
      </w:r>
    </w:p>
    <w:p>
      <w:pPr>
        <w:pStyle w:val="Heading1"/>
      </w:pPr>
      <w:r>
        <w:t>不能直接答應或說死的事項</w:t>
      </w:r>
    </w:p>
    <w:p>
      <w:pPr>
        <w:pStyle w:val="ListBullet"/>
        <w:spacing w:after="60"/>
      </w:pPr>
      <w:r>
        <w:t>不要直接答應所有品項固定 20% 分潤。</w:t>
      </w:r>
    </w:p>
    <w:p>
      <w:pPr>
        <w:pStyle w:val="ListBullet"/>
        <w:spacing w:after="60"/>
      </w:pPr>
      <w:r>
        <w:t>不要把 GMV 說成旺來獲利。</w:t>
      </w:r>
    </w:p>
    <w:p>
      <w:pPr>
        <w:pStyle w:val="ListBullet"/>
        <w:spacing w:after="60"/>
      </w:pPr>
      <w:r>
        <w:t>不要宣稱 ViVi 官方會員數；公開資料沒有正式揭露。</w:t>
      </w:r>
    </w:p>
    <w:p>
      <w:pPr>
        <w:pStyle w:val="ListBullet"/>
        <w:spacing w:after="60"/>
      </w:pPr>
      <w:r>
        <w:t>不要承諾所有停車場都適合設櫃。</w:t>
      </w:r>
    </w:p>
    <w:p>
      <w:pPr>
        <w:pStyle w:val="ListBullet"/>
        <w:spacing w:after="60"/>
      </w:pPr>
      <w:r>
        <w:t>不要以『菸蒂絕對不會造成問題』作為風險回答；應說明風險條件與控制措施。</w:t>
      </w:r>
    </w:p>
    <w:p>
      <w:pPr>
        <w:pStyle w:val="ListBullet"/>
        <w:spacing w:after="60"/>
      </w:pPr>
      <w:r>
        <w:t>不要承諾未經確認的 API、金流、個資交換或 Vi 幣整合能力。</w:t>
      </w:r>
    </w:p>
    <w:p>
      <w:pPr>
        <w:pStyle w:val="ListBullet"/>
        <w:spacing w:after="60"/>
      </w:pPr>
      <w:r>
        <w:t>不要讓智慧櫃議題取代 APP 上架、會員導流與交易合作討論。</w:t>
      </w:r>
    </w:p>
    <w:p>
      <w:pPr>
        <w:pStyle w:val="Heading1"/>
      </w:pPr>
      <w:r>
        <w:t>會議後應立即整理的紀錄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紀錄項目</w:t>
            </w:r>
          </w:p>
        </w:tc>
        <w:tc>
          <w:tcPr>
            <w:tcW w:type="dxa" w:w="6350"/>
            <w:shd w:fill="F05A2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會後需填寫</w:t>
            </w:r>
          </w:p>
        </w:tc>
      </w:tr>
      <w:tr>
        <w:tc>
          <w:tcPr>
            <w:tcW w:type="dxa" w:w="28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ViVi 參與者與窗口</w:t>
            </w:r>
          </w:p>
        </w:tc>
        <w:tc>
          <w:tcPr>
            <w:tcW w:type="dxa" w:w="6350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姓名、職稱、負責範圍、聯絡方式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首波品項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可上架／需修改／不可上架</w:t>
            </w:r>
          </w:p>
        </w:tc>
      </w:tr>
      <w:tr>
        <w:tc>
          <w:tcPr>
            <w:tcW w:type="dxa" w:w="28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交易與核銷</w:t>
            </w:r>
          </w:p>
        </w:tc>
        <w:tc>
          <w:tcPr>
            <w:tcW w:type="dxa" w:w="6350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平台流程、序號規格、資料欄位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分潤與對帳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比例、基礎、退款、月結、稅務</w:t>
            </w:r>
          </w:p>
        </w:tc>
      </w:tr>
      <w:tr>
        <w:tc>
          <w:tcPr>
            <w:tcW w:type="dxa" w:w="28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會員導流</w:t>
            </w:r>
          </w:p>
        </w:tc>
        <w:tc>
          <w:tcPr>
            <w:tcW w:type="dxa" w:w="6350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可用會員池、曝光工具、素材規格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PoC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期間、KPI、資料提供方式、成功門檻</w:t>
            </w:r>
          </w:p>
        </w:tc>
      </w:tr>
      <w:tr>
        <w:tc>
          <w:tcPr>
            <w:tcW w:type="dxa" w:w="2835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智慧櫃</w:t>
            </w:r>
          </w:p>
        </w:tc>
        <w:tc>
          <w:tcPr>
            <w:tcW w:type="dxa" w:w="6350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風險窗口、候選場站、需補文件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下一步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雙方負責人、交付內容、日期</w:t>
            </w:r>
          </w:p>
        </w:tc>
      </w:tr>
    </w:tbl>
    <w:p/>
    <w:p/>
    <w:p>
      <w:pPr>
        <w:jc w:val="center"/>
      </w:pPr>
      <w:r>
        <w:rPr>
          <w:b/>
          <w:color w:val="F05A24"/>
          <w:sz w:val="24"/>
        </w:rPr>
        <w:t>誠懇・專業・當責・共榮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F05A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20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F05A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