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CITY PARKING Due Diligence Report</w:t>
      </w:r>
    </w:p>
    <w:p>
      <w:pPr>
        <w:pStyle w:val="Subtitle"/>
      </w:pPr>
      <w:r>
        <w:t xml:space="preserve">版本：v1｜產出日期：2026-06-02｜用途：城市車旅總部提案前DD與BD執行文件</w:t>
      </w:r>
    </w:p>
    <w:p>
      <w:pPr>
        <w:pStyle w:val="Heading1"/>
      </w:pPr>
      <w:r>
        <w:t xml:space="preserve">0. Executive Summary</w:t>
      </w:r>
    </w:p>
    <w:p>
      <w:pPr/>
      <w:r>
        <w:t xml:space="preserve">結論：城市車旅是目前最適合先推進到「可進行總部/區域提案」的品牌。原因有三：第一，既有電話回報顯示對方開放評估，但偏好以具體案場切入；第二，城市車旅/阜爾運通具備大型停車通路、設備化與智慧化能力；第三，公開資料明確支持異業結盟與停車後服務延伸。</w:t>
      </w:r>
    </w:p>
    <w:p>
      <w:pPr/>
      <w:r>
        <w:t xml:space="preserve">建議策略：採「案場驅動型總部提案」。先帶3個台中候選示範點，請城市車旅分派對應區域/案場業務，完成供電、權責與動線初審後，再邀約總部或後勤單位進行30分鐘正式簡報。</w:t>
      </w:r>
    </w:p>
    <w:p>
      <w:pPr/>
      <w:r>
        <w:t xml:space="preserve">第一波不要求20點。標準說法為：先以1至3個示範場站驗證；若空間、供電、需求與營運數據成立，未來半年再評估台中與桃園約20個合作據點。</w:t>
      </w:r>
    </w:p>
    <w:p>
      <w:pPr>
        <w:pStyle w:val="Heading1"/>
      </w:pPr>
      <w:r>
        <w:t xml:space="preserve">1. Company Profile</w:t>
      </w:r>
    </w:p>
    <w:p>
      <w:pPr/>
      <w:r>
        <w:t xml:space="preserve">城市車旅 CITY PARKING 是阜爾運通/PSS Group旗下停車場經營管理品牌。臺灣證券交易所新上市公司介紹指出，阜爾運通以停車場自動化設備製造、銷售為基礎，並以城市車旅從事停車場經營管理服務，完成工廠製造、安裝服務、軟體科技、維護保養、經營管理、行銷服務的垂直整合。</w:t>
      </w:r>
    </w:p>
    <w:p>
      <w:pPr/>
      <w:r>
        <w:t xml:space="preserve">公開資料顯示，阜爾運通在2023年服務突破1000場、管理超過12萬格停車位。這代表城市車旅具備場站規模與標準化能力，若試點成立，後續具有複製價值。</w:t>
      </w:r>
    </w:p>
    <w:p>
      <w:pPr/>
      <w:r>
        <w:t xml:space="preserve">城市車旅官網聯絡頁列出異業結盟、場地租借、停車特約等合作欄位，並公開 sales@pss-group.com、台北與台中聯絡電話。這是本案第一個正式進件入口。</w:t>
      </w:r>
    </w:p>
    <w:p>
      <w:pPr>
        <w:pStyle w:val="Heading1"/>
      </w:pPr>
      <w:r>
        <w:t xml:space="preserve">2. Business Due Diligence</w:t>
      </w:r>
    </w:p>
    <w:p>
      <w:pPr/>
      <w:r>
        <w:t xml:space="preserve">商業模式：城市車旅不是單純停車場品牌，而是停車場設備、系統、經營管理、維運與行銷整合商。旺來提案若只講租角落，會低估對方的智慧場域能力；應改以場站增值服務與停車後生活服務切入。</w:t>
      </w:r>
    </w:p>
    <w:p>
      <w:pPr/>
      <w:r>
        <w:t xml:space="preserve">合作價值：對城市車旅而言，旺來可提供不增加現場負擔的社區型智慧服務據點，活化不影響車格/車道的邊角空間，並提供可量化的試點數據。</w:t>
      </w:r>
    </w:p>
    <w:p>
      <w:pPr/>
      <w:r>
        <w:t xml:space="preserve">關鍵限制：城市車旅既有接觸紀錄顯示其採業務分區/分案場管理，因此推進方式需同時具備具體案場清單與總部標準化敘事。</w:t>
      </w:r>
    </w:p>
    <w:p>
      <w:pPr>
        <w:pStyle w:val="Heading1"/>
      </w:pPr>
      <w:r>
        <w:t xml:space="preserve">3. Fit Analysis</w:t>
      </w:r>
    </w:p>
    <w:p>
      <w:pPr/>
      <w:r>
        <w:t xml:space="preserve">高Fit：通路規模、智慧設備能力、官方異業合作入口、停車後服務延伸方向。</w:t>
      </w:r>
    </w:p>
    <w:p>
      <w:pPr/>
      <w:r>
        <w:t xml:space="preserve">中Fit：分區/分案場決策使總部一次性框架較難立即成立；供電可行性仍需逐案驗證。</w:t>
      </w:r>
    </w:p>
    <w:p>
      <w:pPr/>
      <w:r>
        <w:t xml:space="preserve">低Fit風險：若案場需占車格、影響主要動線、需新增電表或地主/管委會權責不清，該案不應進入A級試點。</w:t>
      </w:r>
    </w:p>
    <w:p>
      <w:pPr>
        <w:pStyle w:val="Heading1"/>
      </w:pPr>
      <w:r>
        <w:t xml:space="preserve">4. Recommended First Wave</w:t>
      </w:r>
    </w:p>
    <w:p>
      <w:pPr/>
      <w:r>
        <w:t xml:space="preserve">第一波建議從既有TOP10中挑3個作為對外提案材料：一中二站、惠中A站、吉拾忠明站/大潤發忠明站。若城市車旅業務認為區域權責不同，可請其改推薦台中3個室外、具邊角空間且有既有供電的候選案場。</w:t>
      </w:r>
    </w:p>
    <w:p>
      <w:pPr/>
      <w:r>
        <w:t xml:space="preserve">TOP10摘要：</w:t>
      </w:r>
      <w:r>
        <w:br/>
      </w:r>
      <w:r>
        <w:t xml:space="preserve">1. 一中二站｜臺中市北區育才街3巷4-6號旁空地｜理由：公開資料明示旁空地且鄰近一中商圈，具高人流與平面試點價值。｜風險：一中商圈高人流，需控管人車交織風險。</w:t>
      </w:r>
      <w:r>
        <w:br/>
      </w:r>
      <w:r>
        <w:t xml:space="preserve">2. 龍井新興站｜本市龍井區新興路25巷15-1號旁空地｜理由：公開資料明示旁空地且為平面式，低干擾試行條件佳。｜風險：龍井區距離旺來履約核心可能較遠。</w:t>
      </w:r>
      <w:r>
        <w:br/>
      </w:r>
      <w:r>
        <w:t xml:space="preserve">3. 吉拾忠明站／大潤發忠明站｜台中市北區忠明路499號｜理由：具備台中優先區位與可試行條件，但仍需補充現場照片。｜風險：權責、邊角空間與履約半徑待驗證。</w:t>
      </w:r>
      <w:r>
        <w:br/>
      </w:r>
      <w:r>
        <w:t xml:space="preserve">4. 惠中A站｜台中市西屯區惠中路99號｜理由：惠中路商圈與住宅密度高，且同區已有A/B站群可做備援。｜風險：商圈場地權責可能複雜，需確認地主或管理方。</w:t>
      </w:r>
      <w:r>
        <w:br/>
      </w:r>
      <w:r>
        <w:t xml:space="preserve">5. 一中街站／一中一｜台中市北區育才北路47號｜理由：一中商圈人流高，公開地址明確；若可設置，曝光與自取需求強。｜風險：商圈車流與人流密集，動線干擾風險高。</w:t>
      </w:r>
      <w:r>
        <w:br/>
      </w:r>
      <w:r>
        <w:t xml:space="preserve">6. 河南站｜台中市西屯區市政北二路238號｜理由：市政北二路商辦與住宅混合，具增值收入與企業客群潛力。｜風險：可能為高價停車核心區，場站空間與租金期待較高。</w:t>
      </w:r>
      <w:r>
        <w:br/>
      </w:r>
      <w:r>
        <w:t xml:space="preserve">7. 中港文心站｜407台灣臺中市西屯區台中港路二段64-6號｜理由：西屯中港/文心商圈，公開地圖頁顯示周邊停車競爭與人車需求高。｜風險：評論提及入口/通道較小，動線風險需嚴格排除。</w:t>
      </w:r>
      <w:r>
        <w:br/>
      </w:r>
      <w:r>
        <w:t xml:space="preserve">8. 國光花市站｜臺中市大里區國光里德芳南路437號｜理由：國光花市具市場/商圈屬性，停車與採買行為結合度高。｜風險：花市人流尖峰明顯，需避開裝卸與採買動線。</w:t>
      </w:r>
      <w:r>
        <w:br/>
      </w:r>
      <w:r>
        <w:t xml:space="preserve">9. 全聯台中忠明南站｜台中市南區忠明南路1118號之2號之1｜理由：具備台中優先區位與可試行條件，但仍需補充現場照片。｜風險：權責、邊角空間與履約半徑待驗證。</w:t>
      </w:r>
      <w:r>
        <w:br/>
      </w:r>
      <w:r>
        <w:t xml:space="preserve">10. 福音第二站｜台中市北區精武路512號｜理由：具備台中優先區位與可試行條件，但仍需補充現場照片。｜風險：權責、邊角空間與履約半徑待驗證。</w:t>
      </w:r>
    </w:p>
    <w:p>
      <w:pPr>
        <w:pStyle w:val="Heading1"/>
      </w:pPr>
      <w:r>
        <w:t xml:space="preserve">5. Risk Register Summary</w:t>
      </w:r>
    </w:p>
    <w:p>
      <w:pPr/>
      <w:r>
        <w:t xml:space="preserve">主要風險依序為供電、動線、權責、品牌安全、現場負擔與商務條件。供電風險必須前置處理：有空間不代表可設置；供電可行性&lt;=2不得列A。</w:t>
      </w:r>
    </w:p>
    <w:p>
      <w:pPr/>
      <w:r>
        <w:t xml:space="preserve">城市車旅設備化程度高，許多場站可能已有車辨、繳費、照明或管理亭電源，但旺來不得假設可直接分接，需取得合法用電方式與費用結算方式。</w:t>
      </w:r>
    </w:p>
    <w:p>
      <w:pPr>
        <w:pStyle w:val="Heading1"/>
      </w:pPr>
      <w:r>
        <w:t xml:space="preserve">6. Sources</w:t>
      </w:r>
    </w:p>
    <w:p>
      <w:pPr/>
      <w:r>
        <w:t xml:space="preserve">城市車旅聯絡我們: https://www.cityparking888.com/contact.php</w:t>
      </w:r>
      <w:r>
        <w:br/>
      </w:r>
      <w:r>
        <w:t xml:space="preserve">城市車旅認識我們: https://www.cityparking888.com/about.php</w:t>
      </w:r>
      <w:r>
        <w:br/>
      </w:r>
      <w:r>
        <w:t xml:space="preserve">臺灣證券交易所_阜爾運通新上市公司介紹: https://wwwc.twse.com.tw/market_insights/zh/detail/ff8080818eead609018f27ed636f00ad</w:t>
      </w:r>
      <w:r>
        <w:br/>
      </w:r>
      <w:r>
        <w:t xml:space="preserve">阜爾運通公開說明書: https://www.pss-group.com/upload/20230807095513.pdf</w:t>
      </w:r>
      <w:r>
        <w:br/>
      </w:r>
      <w:r>
        <w:t xml:space="preserve">城市車旅初步開發回報: 【城市車旅 × 旺來瓦斯｜初步開發回報】.docx</w:t>
      </w:r>
      <w:r>
        <w:br/>
      </w:r>
      <w:r>
        <w:t xml:space="preserve">既有案場資料庫: CITY_案場資料庫_v1.xlsx</w:t>
      </w:r>
      <w:r>
        <w:br/>
      </w:r>
      <w:r>
        <w:t xml:space="preserve">供電評估模型: 停車場供電評估模型_修正版_v1.md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JhengHei"/>
      <w:sz w:val="21"/>
    </w:rPr>
    <w:pPr>
      <w:spacing w:after="120" w:line="300" w:lineRule="auto"/>
    </w:pPr>
  </w:style>
  <w:style w:type="paragraph" w:styleId="Title">
    <w:name w:val="Title"/>
    <w:rPr>
      <w:rFonts w:eastAsia="Microsoft JhengHei"/>
      <w:b/>
      <w:sz w:val="32"/>
    </w:rPr>
    <w:pPr>
      <w:spacing w:after="240"/>
    </w:pPr>
  </w:style>
  <w:style w:type="paragraph" w:styleId="Subtitle">
    <w:name w:val="Subtitle"/>
    <w:rPr>
      <w:rFonts w:eastAsia="Microsoft JhengHei"/>
      <w:color w:val="666666"/>
      <w:sz w:val="19"/>
    </w:rPr>
  </w:style>
  <w:style w:type="paragraph" w:styleId="Heading1">
    <w:name w:val="heading 1"/>
    <w:basedOn w:val="Normal"/>
    <w:rPr>
      <w:rFonts w:eastAsia="Microsoft JhengHei"/>
      <w:b/>
      <w:sz w:val="26"/>
      <w:color w:val="1F4E79"/>
    </w:rPr>
    <w:pPr>
      <w:spacing w:before="260"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