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PARK24 / Times BD Strategy</w:t>
      </w:r>
    </w:p>
    <w:p>
      <w:pPr>
        <w:pStyle w:val="Subtitle"/>
      </w:pPr>
      <w:r>
        <w:t xml:space="preserve">版本：v1｜產出日期：2026-06-01｜用途：PARK24 / Times 總部提案前 DD 與BD執行文件</w:t>
      </w:r>
    </w:p>
    <w:p>
      <w:pPr>
        <w:pStyle w:val="Heading1"/>
      </w:pPr>
      <w:r>
        <w:t xml:space="preserve">0. BD Strategy Conclusion</w:t>
      </w:r>
    </w:p>
    <w:p>
      <w:pPr/>
      <w:r>
        <w:t xml:space="preserve">PARK24應採「總部標準化試點」策略，而非案場逐一拜訪。原因是Times具備日系標準化治理、多據點規模與官方合作入口；若未先取得總部框架，單點溝通容易卡在權責、用電與品牌安全。</w:t>
      </w:r>
    </w:p>
    <w:p>
      <w:pPr/>
      <w:r>
        <w:t xml:space="preserve">BD北極星指標：取得總部簡報機會。所有材料只服務於一件事：讓PARK24願意把本案交給營運開發/特約合作/場站合作承辦窗口評估。</w:t>
      </w:r>
    </w:p>
    <w:p>
      <w:pPr>
        <w:pStyle w:val="Heading1"/>
      </w:pPr>
      <w:r>
        <w:t xml:space="preserve">1. Contact Strategy</w:t>
      </w:r>
    </w:p>
    <w:p>
      <w:pPr/>
      <w:r>
        <w:t xml:space="preserve">第一順位：台北總公司 02-2504-6098，請轉營運開發、空地合作、特約合作或異業合作承辦。第二順位：官網聯絡頁，問題分類優先使用特約合作；若系統更適合空地合作，需求說明需寫清楚這不是土地委託，而是智慧服務據點試點。第三順位：客服 0809-008-924，僅作轉接與追蹤，不作主要提案入口。</w:t>
      </w:r>
    </w:p>
    <w:p>
      <w:pPr/>
      <w:r>
        <w:t xml:space="preserve">首通說法：我們不是要承租停車格，也不是一開始談大量點位，而是希望向總部說明1至3個智慧服務據點試點模型，先確認不影響停車本業、供電合法可行、現場不增加管理負擔。</w:t>
      </w:r>
    </w:p>
    <w:p>
      <w:pPr>
        <w:pStyle w:val="Heading1"/>
      </w:pPr>
      <w:r>
        <w:t xml:space="preserve">2. Target Account Plan</w:t>
      </w:r>
    </w:p>
    <w:p>
      <w:pPr/>
      <w:r>
        <w:t xml:space="preserve">Account owner：BD主管。Support：營運、工程、客服、法務。決策支持文件：DD Report、Project Master、Headquarter Proposal。</w:t>
      </w:r>
    </w:p>
    <w:p>
      <w:pPr/>
      <w:r>
        <w:t xml:space="preserve">首波寄送內容：一頁式合作摘要、TOP10候選案場、供電風險控制、旺來負責事項、希望PARK24協助事項、30分鐘簡報邀約。</w:t>
      </w:r>
    </w:p>
    <w:p>
      <w:pPr/>
      <w:r>
        <w:t xml:space="preserve">不要寄送過重資料包。第一封Email的目標是約會，不是完成審查。</w:t>
      </w:r>
    </w:p>
    <w:p>
      <w:pPr>
        <w:pStyle w:val="Heading1"/>
      </w:pPr>
      <w:r>
        <w:t xml:space="preserve">3. TOP10 BD Prioritization</w:t>
      </w:r>
    </w:p>
    <w:p>
      <w:pPr/>
      <w:r>
        <w:t xml:space="preserve">1. 台中大業路第2停車場｜台中市南屯區大業路546號旁｜優先級A｜原因：南屯生活圈，月租+臨停，具生活密度｜風險：繳費機與車辨推測有既有電源；需確認可否合法分接</w:t>
      </w:r>
      <w:r>
        <w:br/>
      </w:r>
      <w:r>
        <w:t xml:space="preserve">2. 台中大英街停車場｜台中市南屯區大英街485號旁｜優先級A｜原因：住宅商圈混合，設備訊號完整｜風險：柵欄與繳費機代表供電可能性高；需確認設備位置距離</w:t>
      </w:r>
      <w:r>
        <w:br/>
      </w:r>
      <w:r>
        <w:t xml:space="preserve">3. 台中大和路第2停車場｜台中市西區大和路3號旁｜優先級A｜原因：西區住宅+商圈，月租客群穩定｜風險：繳費機與車辨具供電訊號；需確認邊角與動線</w:t>
      </w:r>
      <w:r>
        <w:br/>
      </w:r>
      <w:r>
        <w:t xml:space="preserve">4. 台中文心路停車場｜台中市西屯區文心路三段40號｜優先級A｜原因：文心路幹道與商辦/住宅節點｜風險：車流強，需避開主要動線；供電需現勘</w:t>
      </w:r>
      <w:r>
        <w:br/>
      </w:r>
      <w:r>
        <w:t xml:space="preserve">5. 台中美村路第2停車場｜台中市西區美村路一段41-1號｜優先級B｜原因：西區生活圈，掃碼場管理負擔低｜風險：掃碼場可能無繳費機；需確認車辨/照明電源可用性</w:t>
      </w:r>
      <w:r>
        <w:br/>
      </w:r>
      <w:r>
        <w:t xml:space="preserve">6. 台中大里文化街停車場｜台中市大里區文化街232號對面｜優先級B｜原因：大里住宅型需求明確｜風險：距離旺來履約核心待驗證；供電訊號佳</w:t>
      </w:r>
      <w:r>
        <w:br/>
      </w:r>
      <w:r>
        <w:t xml:space="preserve">7. 台中大里新明路停車場｜台中市大里區新明路7號旁｜優先級B｜原因：大里生活型場站，月租穩定｜風險：履約半徑與補貨路線待確認</w:t>
      </w:r>
      <w:r>
        <w:br/>
      </w:r>
      <w:r>
        <w:t xml:space="preserve">8. 台中育強街停車場｜台中市北區育強街78巷11號旁｜優先級B｜原因：北區住宅巷弄，社區自取需求可測｜風險：巷道寬度、補貨短停與邊角空間待現勘</w:t>
      </w:r>
      <w:r>
        <w:br/>
      </w:r>
      <w:r>
        <w:t xml:space="preserve">9. 台中東海夜市第2停車場｜台中市龍井區新興路11巷14號｜優先級B｜原因：夜市/學區人流強，但履約距離待驗證｜風險：供電可能可行；夜市尖峰人車交織風險高</w:t>
      </w:r>
      <w:r>
        <w:br/>
      </w:r>
      <w:r>
        <w:t xml:space="preserve">10. 台中振興路停車場｜台中市東區振興路1-3號旁｜優先級B｜原因：東區幹道節點，近住宅/交通動線｜風險：升降板與車道配置需避免設備干擾</w:t>
      </w:r>
    </w:p>
    <w:p>
      <w:pPr/>
      <w:r>
        <w:t xml:space="preserve">TOP10使用原則：只作為總部討論素材，不宣稱已可設置。所有A級均需在PARK24提供供電、權責與現場條件後才可轉為試點。</w:t>
      </w:r>
    </w:p>
    <w:p>
      <w:pPr>
        <w:pStyle w:val="Heading1"/>
      </w:pPr>
      <w:r>
        <w:t xml:space="preserve">4. Objection Handling</w:t>
      </w:r>
    </w:p>
    <w:p>
      <w:pPr/>
      <w:r>
        <w:t xml:space="preserve">若對方問是否租停車格：不是，僅評估不影響車格與車道的邊角空間。</w:t>
      </w:r>
    </w:p>
    <w:p>
      <w:pPr/>
      <w:r>
        <w:t xml:space="preserve">若對方擔心現場負擔：旺來負責設備、客服、維運、補貨與異常，現場只需保留通報窗口。</w:t>
      </w:r>
    </w:p>
    <w:p>
      <w:pPr/>
      <w:r>
        <w:t xml:space="preserve">若對方問用電：不預設使用貴司電源，先依Availability、Accessibility、Economics判斷；可採固定電費、獨立計量或另議方式。</w:t>
      </w:r>
    </w:p>
    <w:p>
      <w:pPr/>
      <w:r>
        <w:t xml:space="preserve">若對方問要多少點：先1至3個示範點，試點成立後半年內才評估台中與桃園約20點。</w:t>
      </w:r>
    </w:p>
    <w:p>
      <w:pPr>
        <w:pStyle w:val="Heading1"/>
      </w:pPr>
      <w:r>
        <w:t xml:space="preserve">5. Weekly Execution Plan</w:t>
      </w:r>
    </w:p>
    <w:p>
      <w:pPr/>
      <w:r>
        <w:t xml:space="preserve">D+1：電話總公司並送官網聯絡表單。D+2：寄送總部提案版Email。D+3：電話追蹤是否轉承辦。D+5：爭取30分鐘簡報或取得候選場站資料。D+7：完成會議或補件。</w:t>
      </w:r>
    </w:p>
    <w:p>
      <w:pPr/>
      <w:r>
        <w:t xml:space="preserve">PMO追蹤欄位：日期、接觸窗口、部門、聯絡方式、對方回覆、下一步、截止日、風險、需支援部門。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JhengHei"/>
      <w:sz w:val="21"/>
    </w:rPr>
    <w:pPr>
      <w:spacing w:after="120" w:line="300" w:lineRule="auto"/>
    </w:pPr>
  </w:style>
  <w:style w:type="paragraph" w:styleId="Title">
    <w:name w:val="Title"/>
    <w:rPr>
      <w:rFonts w:eastAsia="Microsoft JhengHei"/>
      <w:b/>
      <w:sz w:val="32"/>
    </w:rPr>
    <w:pPr>
      <w:spacing w:after="240"/>
    </w:pPr>
  </w:style>
  <w:style w:type="paragraph" w:styleId="Subtitle">
    <w:name w:val="Subtitle"/>
    <w:rPr>
      <w:rFonts w:eastAsia="Microsoft JhengHei"/>
      <w:color w:val="666666"/>
      <w:sz w:val="19"/>
    </w:rPr>
  </w:style>
  <w:style w:type="paragraph" w:styleId="Heading1">
    <w:name w:val="heading 1"/>
    <w:basedOn w:val="Normal"/>
    <w:rPr>
      <w:rFonts w:eastAsia="Microsoft JhengHei"/>
      <w:b/>
      <w:sz w:val="26"/>
      <w:color w:val="1F4E79"/>
    </w:rPr>
    <w:pPr>
      <w:spacing w:before="26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