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PARK24 / Times Headquarter Proposal</w:t>
      </w:r>
    </w:p>
    <w:p>
      <w:pPr>
        <w:pStyle w:val="Subtitle"/>
      </w:pPr>
      <w:r>
        <w:t xml:space="preserve">版本：v1｜產出日期：2026-06-01｜用途：PARK24 / Times 總部提案前 DD 與BD執行文件</w:t>
      </w:r>
    </w:p>
    <w:p>
      <w:pPr>
        <w:pStyle w:val="Heading1"/>
      </w:pPr>
      <w:r>
        <w:t xml:space="preserve">1. 提案主張</w:t>
      </w:r>
    </w:p>
    <w:p>
      <w:pPr/>
      <w:r>
        <w:t xml:space="preserve">旺來瓦斯希望與PARK24 / Times評估建立「社區型智慧服務據點」試點合作。此合作不是承租停車格，也不是要求大量點位，而是在不影響停車收益、車道動線與現場管理的前提下，利用閒置邊角空間導入智慧自取服務。</w:t>
      </w:r>
    </w:p>
    <w:p>
      <w:pPr/>
      <w:r>
        <w:t xml:space="preserve">旺來負責設備、客服、補貨、維運與異常處理；PARK24協助確認候選場站、場地權責、合法供電與現勘窗口。</w:t>
      </w:r>
    </w:p>
    <w:p>
      <w:pPr>
        <w:pStyle w:val="Heading1"/>
      </w:pPr>
      <w:r>
        <w:t xml:space="preserve">2. 為什麼適合Times</w:t>
      </w:r>
    </w:p>
    <w:p>
      <w:pPr/>
      <w:r>
        <w:t xml:space="preserve">Times具備多據點、標準化、設備化與智慧停車基礎。官方資訊顯示其在台設立1,000多場停車場，且持續導入新型態技術及設備。本案可作為低干擾、可量化、可複製的生活服務延伸。</w:t>
      </w:r>
    </w:p>
    <w:p>
      <w:pPr/>
      <w:r>
        <w:t xml:space="preserve">對Times而言，合作價值不是單點租金，而是提升場站服務價值、活化低使用角落、強化智慧場域形象，並維持停車本業不受影響。</w:t>
      </w:r>
    </w:p>
    <w:p>
      <w:pPr>
        <w:pStyle w:val="Heading1"/>
      </w:pPr>
      <w:r>
        <w:t xml:space="preserve">3. 試點方式</w:t>
      </w:r>
    </w:p>
    <w:p>
      <w:pPr/>
      <w:r>
        <w:t xml:space="preserve">建議先以1至3個示範點試行。候選條件：室外或地面層、具邊角空間、不影響車格/車道、靠近住宅或商圈、已有合法可協調電源、補貨可短停、權責清楚。</w:t>
      </w:r>
    </w:p>
    <w:p>
      <w:pPr/>
      <w:r>
        <w:t xml:space="preserve">試點期間建議90天，追蹤KPI：取貨/使用量、補貨效率、異常率、客訴率、場站回饋、用電穩定性、是否影響停車營運。</w:t>
      </w:r>
    </w:p>
    <w:p>
      <w:pPr>
        <w:pStyle w:val="Heading1"/>
      </w:pPr>
      <w:r>
        <w:t xml:space="preserve">4. 首波候選場站</w:t>
      </w:r>
    </w:p>
    <w:p>
      <w:pPr/>
      <w:r>
        <w:t xml:space="preserve">初步建議候選：台中大業路第2、台中大英街、台中文心路、台中大和路第2。以上均需PARK24協助確認供電、權責、實際邊角空間與現勘可行性。</w:t>
      </w:r>
    </w:p>
    <w:p>
      <w:pPr/>
      <w:r>
        <w:t xml:space="preserve">若PARK24有更適合的台中或桃園室外場站，建議由總部直接提供3至5個候選點，旺來依同一套標準評估。</w:t>
      </w:r>
    </w:p>
    <w:p>
      <w:pPr>
        <w:pStyle w:val="Heading1"/>
      </w:pPr>
      <w:r>
        <w:t xml:space="preserve">5. 雙方分工</w:t>
      </w:r>
    </w:p>
    <w:p>
      <w:pPr/>
      <w:r>
        <w:t xml:space="preserve">旺來：設備、商品/服務營運、客服、補貨、維運、異常處理、保險與安全文件、試點數據回顧。</w:t>
      </w:r>
    </w:p>
    <w:p>
      <w:pPr/>
      <w:r>
        <w:t xml:space="preserve">PARK24：候選場站推薦、場地權責確認、供電可行性協助、現勘窗口、品牌/法務/工程審查流程確認。</w:t>
      </w:r>
    </w:p>
    <w:p>
      <w:pPr>
        <w:pStyle w:val="Heading1"/>
      </w:pPr>
      <w:r>
        <w:t xml:space="preserve">6. 下一步</w:t>
      </w:r>
    </w:p>
    <w:p>
      <w:pPr/>
      <w:r>
        <w:t xml:space="preserve">安排30分鐘總部簡報。會議目標不是立即簽約，而是確認：承辦窗口、候選場站、供電資料、現勘流程、試點KPI、責任分工與下一次評估會議。</w:t>
      </w:r>
    </w:p>
    <w:p>
      <w:pPr/>
      <w:r>
        <w:t xml:space="preserve">若試點成立，未來半年可依標準化評估表，逐步評估台中與桃園約20個合作據點；不建議在試點前承諾大量點位。</w:t>
      </w:r>
    </w:p>
    <w:p>
      <w:pPr>
        <w:pStyle w:val="Heading1"/>
      </w:pPr>
      <w:r>
        <w:t xml:space="preserve">7. 資料來源</w:t>
      </w:r>
    </w:p>
    <w:p>
      <w:pPr/>
      <w:r>
        <w:t xml:space="preserve">Times官網首頁: https://www.park24.com.tw/</w:t>
      </w:r>
      <w:r>
        <w:br/>
      </w:r>
      <w:r>
        <w:t xml:space="preserve">Times公司概要: https://www.park24.com.tw/about/profile/</w:t>
      </w:r>
      <w:r>
        <w:br/>
      </w:r>
      <w:r>
        <w:t xml:space="preserve">Times聯絡我們: https://www.park24.com.tw/contact/</w:t>
      </w:r>
      <w:r>
        <w:br/>
      </w:r>
      <w:r>
        <w:t xml:space="preserve">Times服務據點: https://www.park24.com.tw/service_locations/</w:t>
      </w:r>
      <w:r>
        <w:br/>
      </w:r>
      <w:r>
        <w:t xml:space="preserve">台中大業路第2: https://www.park24.com.tw/service_locations/park-detail-BUK0073098/?business=2&amp;traffic=1</w:t>
      </w:r>
      <w:r>
        <w:br/>
      </w:r>
      <w:r>
        <w:t xml:space="preserve">台中大英街: https://www.park24.com.tw/service_locations/park-detail-BUK0046026/</w:t>
      </w:r>
      <w:r>
        <w:br/>
      </w:r>
      <w:r>
        <w:t xml:space="preserve">台中文心路: https://www.park24.com.tw/service_locations/park-detail-BUK0027788/</w:t>
      </w:r>
      <w:r>
        <w:br/>
      </w:r>
      <w:r>
        <w:t xml:space="preserve">台中美村路第2: https://www.park24.com.tw/service_locations/BUK0048922/</w:t>
      </w:r>
      <w:r>
        <w:br/>
      </w:r>
      <w:r>
        <w:t xml:space="preserve">台中大和路第2: https://www.park24.com.tw/service_locations/BUK0054511/?business=2&amp;traffic=1</w:t>
      </w:r>
      <w:r>
        <w:br/>
      </w:r>
      <w:r>
        <w:t xml:space="preserve">台中東海夜市第2: https://www.park24.com.tw/service_locations/BUK0038681/?business=2&amp;traffic=1</w:t>
      </w:r>
      <w:r>
        <w:br/>
      </w:r>
      <w:r>
        <w:t xml:space="preserve">台中大里文化街: https://www.park24.com.tw/service_locations/park-detail-BUK0058048/</w:t>
      </w:r>
      <w:r>
        <w:br/>
      </w:r>
      <w:r>
        <w:t xml:space="preserve">台中大里新明路: https://www.park24.com.tw/service_locations/park-detail-BUK0061122/</w:t>
      </w:r>
      <w:r>
        <w:br/>
      </w:r>
      <w:r>
        <w:t xml:space="preserve">台中育強街: https://www.park24.com.tw/service_locations/park-detail-BUK0053176/?business=2&amp;traffic=1</w:t>
      </w:r>
      <w:r>
        <w:br/>
      </w:r>
      <w:r>
        <w:t xml:space="preserve">台中振興路: https://www.park24.com.tw/service_locations/park-detail-BUK0053679/?business=2&amp;traffic=1</w:t>
      </w:r>
      <w:r>
        <w:br/>
      </w:r>
      <w:r>
        <w:t xml:space="preserve">台中大肚福利路: https://www.park24.com.tw/service_locations/park-detail-BUK0059265/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Microsoft JhengHei"/>
      <w:sz w:val="21"/>
    </w:rPr>
    <w:pPr>
      <w:spacing w:after="120" w:line="300" w:lineRule="auto"/>
    </w:pPr>
  </w:style>
  <w:style w:type="paragraph" w:styleId="Title">
    <w:name w:val="Title"/>
    <w:rPr>
      <w:rFonts w:eastAsia="Microsoft JhengHei"/>
      <w:b/>
      <w:sz w:val="32"/>
    </w:rPr>
    <w:pPr>
      <w:spacing w:after="240"/>
    </w:pPr>
  </w:style>
  <w:style w:type="paragraph" w:styleId="Subtitle">
    <w:name w:val="Subtitle"/>
    <w:rPr>
      <w:rFonts w:eastAsia="Microsoft JhengHei"/>
      <w:color w:val="666666"/>
      <w:sz w:val="19"/>
    </w:rPr>
  </w:style>
  <w:style w:type="paragraph" w:styleId="Heading1">
    <w:name w:val="heading 1"/>
    <w:basedOn w:val="Normal"/>
    <w:rPr>
      <w:rFonts w:eastAsia="Microsoft JhengHei"/>
      <w:b/>
      <w:sz w:val="26"/>
      <w:color w:val="1F4E79"/>
    </w:rPr>
    <w:pPr>
      <w:spacing w:before="260" w:after="1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