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8F4A4" w14:textId="77777777" w:rsidR="00EB2813" w:rsidRPr="00EF1C1A" w:rsidRDefault="00496271">
      <w:pPr>
        <w:pStyle w:val="Title"/>
      </w:pPr>
      <w:r w:rsidRPr="00EF1C1A">
        <w:t xml:space="preserve">Supplementary Materials - Determinants of measles persistence in Beijing, China: A </w:t>
      </w:r>
      <w:proofErr w:type="spellStart"/>
      <w:r w:rsidRPr="00EF1C1A">
        <w:t>modeling</w:t>
      </w:r>
      <w:proofErr w:type="spellEnd"/>
      <w:r w:rsidRPr="00EF1C1A">
        <w:t xml:space="preserve"> study</w:t>
      </w:r>
    </w:p>
    <w:sdt>
      <w:sdtPr>
        <w:id w:val="403805555"/>
        <w:docPartObj>
          <w:docPartGallery w:val="Table of Contents"/>
          <w:docPartUnique/>
        </w:docPartObj>
      </w:sdtPr>
      <w:sdtContent>
        <w:p w14:paraId="2EEE11DE" w14:textId="77777777" w:rsidR="00EB2813" w:rsidRPr="00EF1C1A" w:rsidRDefault="00496271">
          <w:r w:rsidRPr="00EF1C1A">
            <w:t>Table of Contents</w:t>
          </w:r>
        </w:p>
        <w:p w14:paraId="6C23C8B0" w14:textId="55593BEC" w:rsidR="00B62349" w:rsidRDefault="00496271">
          <w:pPr>
            <w:pStyle w:val="TOC1"/>
            <w:tabs>
              <w:tab w:val="right" w:leader="dot" w:pos="9010"/>
            </w:tabs>
            <w:rPr>
              <w:noProof/>
              <w:lang w:val="en-HK"/>
            </w:rPr>
          </w:pPr>
          <w:r w:rsidRPr="00EF1C1A">
            <w:fldChar w:fldCharType="begin"/>
          </w:r>
          <w:r w:rsidRPr="00EF1C1A">
            <w:instrText>TOC \o "1-3" \h \z \u</w:instrText>
          </w:r>
          <w:r w:rsidRPr="00EF1C1A">
            <w:fldChar w:fldCharType="separate"/>
          </w:r>
          <w:hyperlink w:anchor="_Toc128398371" w:history="1">
            <w:r w:rsidR="00B62349" w:rsidRPr="005868DB">
              <w:rPr>
                <w:rStyle w:val="Hyperlink"/>
                <w:noProof/>
              </w:rPr>
              <w:t>1 Demographic data and estimates</w:t>
            </w:r>
            <w:r w:rsidR="00B62349">
              <w:rPr>
                <w:noProof/>
                <w:webHidden/>
              </w:rPr>
              <w:tab/>
            </w:r>
            <w:r w:rsidR="00B62349">
              <w:rPr>
                <w:noProof/>
                <w:webHidden/>
              </w:rPr>
              <w:fldChar w:fldCharType="begin"/>
            </w:r>
            <w:r w:rsidR="00B62349">
              <w:rPr>
                <w:noProof/>
                <w:webHidden/>
              </w:rPr>
              <w:instrText xml:space="preserve"> PAGEREF _Toc128398371 \h </w:instrText>
            </w:r>
            <w:r w:rsidR="00B62349">
              <w:rPr>
                <w:noProof/>
                <w:webHidden/>
              </w:rPr>
            </w:r>
            <w:r w:rsidR="00B62349">
              <w:rPr>
                <w:noProof/>
                <w:webHidden/>
              </w:rPr>
              <w:fldChar w:fldCharType="separate"/>
            </w:r>
            <w:r w:rsidR="00B62349">
              <w:rPr>
                <w:noProof/>
                <w:webHidden/>
              </w:rPr>
              <w:t>2</w:t>
            </w:r>
            <w:r w:rsidR="00B62349">
              <w:rPr>
                <w:noProof/>
                <w:webHidden/>
              </w:rPr>
              <w:fldChar w:fldCharType="end"/>
            </w:r>
          </w:hyperlink>
        </w:p>
        <w:p w14:paraId="33D6F196" w14:textId="099461F4" w:rsidR="00B62349" w:rsidRDefault="00000000">
          <w:pPr>
            <w:pStyle w:val="TOC2"/>
            <w:tabs>
              <w:tab w:val="right" w:leader="dot" w:pos="9010"/>
            </w:tabs>
            <w:rPr>
              <w:noProof/>
              <w:lang w:val="en-HK"/>
            </w:rPr>
          </w:pPr>
          <w:hyperlink w:anchor="_Toc128398372" w:history="1">
            <w:r w:rsidR="00B62349" w:rsidRPr="005868DB">
              <w:rPr>
                <w:rStyle w:val="Hyperlink"/>
                <w:noProof/>
              </w:rPr>
              <w:t>1.1 Birth and death</w:t>
            </w:r>
            <w:r w:rsidR="00B62349">
              <w:rPr>
                <w:noProof/>
                <w:webHidden/>
              </w:rPr>
              <w:tab/>
            </w:r>
            <w:r w:rsidR="00B62349">
              <w:rPr>
                <w:noProof/>
                <w:webHidden/>
              </w:rPr>
              <w:fldChar w:fldCharType="begin"/>
            </w:r>
            <w:r w:rsidR="00B62349">
              <w:rPr>
                <w:noProof/>
                <w:webHidden/>
              </w:rPr>
              <w:instrText xml:space="preserve"> PAGEREF _Toc128398372 \h </w:instrText>
            </w:r>
            <w:r w:rsidR="00B62349">
              <w:rPr>
                <w:noProof/>
                <w:webHidden/>
              </w:rPr>
            </w:r>
            <w:r w:rsidR="00B62349">
              <w:rPr>
                <w:noProof/>
                <w:webHidden/>
              </w:rPr>
              <w:fldChar w:fldCharType="separate"/>
            </w:r>
            <w:r w:rsidR="00B62349">
              <w:rPr>
                <w:noProof/>
                <w:webHidden/>
              </w:rPr>
              <w:t>2</w:t>
            </w:r>
            <w:r w:rsidR="00B62349">
              <w:rPr>
                <w:noProof/>
                <w:webHidden/>
              </w:rPr>
              <w:fldChar w:fldCharType="end"/>
            </w:r>
          </w:hyperlink>
        </w:p>
        <w:p w14:paraId="57FEE5D3" w14:textId="54FA8DA8" w:rsidR="00B62349" w:rsidRDefault="00000000">
          <w:pPr>
            <w:pStyle w:val="TOC2"/>
            <w:tabs>
              <w:tab w:val="right" w:leader="dot" w:pos="9010"/>
            </w:tabs>
            <w:rPr>
              <w:noProof/>
              <w:lang w:val="en-HK"/>
            </w:rPr>
          </w:pPr>
          <w:hyperlink w:anchor="_Toc128398373" w:history="1">
            <w:r w:rsidR="00B62349" w:rsidRPr="005868DB">
              <w:rPr>
                <w:rStyle w:val="Hyperlink"/>
                <w:noProof/>
              </w:rPr>
              <w:t>1.2 Migration</w:t>
            </w:r>
            <w:r w:rsidR="00B62349">
              <w:rPr>
                <w:noProof/>
                <w:webHidden/>
              </w:rPr>
              <w:tab/>
            </w:r>
            <w:r w:rsidR="00B62349">
              <w:rPr>
                <w:noProof/>
                <w:webHidden/>
              </w:rPr>
              <w:fldChar w:fldCharType="begin"/>
            </w:r>
            <w:r w:rsidR="00B62349">
              <w:rPr>
                <w:noProof/>
                <w:webHidden/>
              </w:rPr>
              <w:instrText xml:space="preserve"> PAGEREF _Toc128398373 \h </w:instrText>
            </w:r>
            <w:r w:rsidR="00B62349">
              <w:rPr>
                <w:noProof/>
                <w:webHidden/>
              </w:rPr>
            </w:r>
            <w:r w:rsidR="00B62349">
              <w:rPr>
                <w:noProof/>
                <w:webHidden/>
              </w:rPr>
              <w:fldChar w:fldCharType="separate"/>
            </w:r>
            <w:r w:rsidR="00B62349">
              <w:rPr>
                <w:noProof/>
                <w:webHidden/>
              </w:rPr>
              <w:t>2</w:t>
            </w:r>
            <w:r w:rsidR="00B62349">
              <w:rPr>
                <w:noProof/>
                <w:webHidden/>
              </w:rPr>
              <w:fldChar w:fldCharType="end"/>
            </w:r>
          </w:hyperlink>
        </w:p>
        <w:p w14:paraId="68C3C3CA" w14:textId="33C92C16" w:rsidR="00B62349" w:rsidRDefault="00000000">
          <w:pPr>
            <w:pStyle w:val="TOC1"/>
            <w:tabs>
              <w:tab w:val="right" w:leader="dot" w:pos="9010"/>
            </w:tabs>
            <w:rPr>
              <w:noProof/>
              <w:lang w:val="en-HK"/>
            </w:rPr>
          </w:pPr>
          <w:hyperlink w:anchor="_Toc128398374" w:history="1">
            <w:r w:rsidR="00B62349" w:rsidRPr="005868DB">
              <w:rPr>
                <w:rStyle w:val="Hyperlink"/>
                <w:noProof/>
              </w:rPr>
              <w:t>2 Vaccination data and estimates</w:t>
            </w:r>
            <w:r w:rsidR="00B62349">
              <w:rPr>
                <w:noProof/>
                <w:webHidden/>
              </w:rPr>
              <w:tab/>
            </w:r>
            <w:r w:rsidR="00B62349">
              <w:rPr>
                <w:noProof/>
                <w:webHidden/>
              </w:rPr>
              <w:fldChar w:fldCharType="begin"/>
            </w:r>
            <w:r w:rsidR="00B62349">
              <w:rPr>
                <w:noProof/>
                <w:webHidden/>
              </w:rPr>
              <w:instrText xml:space="preserve"> PAGEREF _Toc128398374 \h </w:instrText>
            </w:r>
            <w:r w:rsidR="00B62349">
              <w:rPr>
                <w:noProof/>
                <w:webHidden/>
              </w:rPr>
            </w:r>
            <w:r w:rsidR="00B62349">
              <w:rPr>
                <w:noProof/>
                <w:webHidden/>
              </w:rPr>
              <w:fldChar w:fldCharType="separate"/>
            </w:r>
            <w:r w:rsidR="00B62349">
              <w:rPr>
                <w:noProof/>
                <w:webHidden/>
              </w:rPr>
              <w:t>2</w:t>
            </w:r>
            <w:r w:rsidR="00B62349">
              <w:rPr>
                <w:noProof/>
                <w:webHidden/>
              </w:rPr>
              <w:fldChar w:fldCharType="end"/>
            </w:r>
          </w:hyperlink>
        </w:p>
        <w:p w14:paraId="393B0B0D" w14:textId="0449AFFE" w:rsidR="00B62349" w:rsidRDefault="00000000">
          <w:pPr>
            <w:pStyle w:val="TOC2"/>
            <w:tabs>
              <w:tab w:val="right" w:leader="dot" w:pos="9010"/>
            </w:tabs>
            <w:rPr>
              <w:noProof/>
              <w:lang w:val="en-HK"/>
            </w:rPr>
          </w:pPr>
          <w:hyperlink w:anchor="_Toc128398375" w:history="1">
            <w:r w:rsidR="00B62349" w:rsidRPr="005868DB">
              <w:rPr>
                <w:rStyle w:val="Hyperlink"/>
                <w:noProof/>
              </w:rPr>
              <w:t>2.1 Rou</w:t>
            </w:r>
            <w:r w:rsidR="00B62349" w:rsidRPr="005868DB">
              <w:rPr>
                <w:rStyle w:val="Hyperlink"/>
                <w:noProof/>
              </w:rPr>
              <w:t>t</w:t>
            </w:r>
            <w:r w:rsidR="00B62349" w:rsidRPr="005868DB">
              <w:rPr>
                <w:rStyle w:val="Hyperlink"/>
                <w:noProof/>
              </w:rPr>
              <w:t>ine vaccination program</w:t>
            </w:r>
            <w:r w:rsidR="00B62349">
              <w:rPr>
                <w:noProof/>
                <w:webHidden/>
              </w:rPr>
              <w:tab/>
            </w:r>
            <w:r w:rsidR="00B62349">
              <w:rPr>
                <w:noProof/>
                <w:webHidden/>
              </w:rPr>
              <w:fldChar w:fldCharType="begin"/>
            </w:r>
            <w:r w:rsidR="00B62349">
              <w:rPr>
                <w:noProof/>
                <w:webHidden/>
              </w:rPr>
              <w:instrText xml:space="preserve"> PAGEREF _Toc128398375 \h </w:instrText>
            </w:r>
            <w:r w:rsidR="00B62349">
              <w:rPr>
                <w:noProof/>
                <w:webHidden/>
              </w:rPr>
            </w:r>
            <w:r w:rsidR="00B62349">
              <w:rPr>
                <w:noProof/>
                <w:webHidden/>
              </w:rPr>
              <w:fldChar w:fldCharType="separate"/>
            </w:r>
            <w:r w:rsidR="00B62349">
              <w:rPr>
                <w:noProof/>
                <w:webHidden/>
              </w:rPr>
              <w:t>2</w:t>
            </w:r>
            <w:r w:rsidR="00B62349">
              <w:rPr>
                <w:noProof/>
                <w:webHidden/>
              </w:rPr>
              <w:fldChar w:fldCharType="end"/>
            </w:r>
          </w:hyperlink>
        </w:p>
        <w:p w14:paraId="2923D66E" w14:textId="2AE71946" w:rsidR="00B62349" w:rsidRDefault="00000000">
          <w:pPr>
            <w:pStyle w:val="TOC2"/>
            <w:tabs>
              <w:tab w:val="right" w:leader="dot" w:pos="9010"/>
            </w:tabs>
            <w:rPr>
              <w:noProof/>
              <w:lang w:val="en-HK"/>
            </w:rPr>
          </w:pPr>
          <w:hyperlink w:anchor="_Toc128398376" w:history="1">
            <w:r w:rsidR="00B62349" w:rsidRPr="005868DB">
              <w:rPr>
                <w:rStyle w:val="Hyperlink"/>
                <w:noProof/>
              </w:rPr>
              <w:t>2.2 Catch-up or supplementary vaccination programs</w:t>
            </w:r>
            <w:r w:rsidR="00B62349">
              <w:rPr>
                <w:noProof/>
                <w:webHidden/>
              </w:rPr>
              <w:tab/>
            </w:r>
            <w:r w:rsidR="00B62349">
              <w:rPr>
                <w:noProof/>
                <w:webHidden/>
              </w:rPr>
              <w:fldChar w:fldCharType="begin"/>
            </w:r>
            <w:r w:rsidR="00B62349">
              <w:rPr>
                <w:noProof/>
                <w:webHidden/>
              </w:rPr>
              <w:instrText xml:space="preserve"> PAGEREF _Toc128398376 \h </w:instrText>
            </w:r>
            <w:r w:rsidR="00B62349">
              <w:rPr>
                <w:noProof/>
                <w:webHidden/>
              </w:rPr>
            </w:r>
            <w:r w:rsidR="00B62349">
              <w:rPr>
                <w:noProof/>
                <w:webHidden/>
              </w:rPr>
              <w:fldChar w:fldCharType="separate"/>
            </w:r>
            <w:r w:rsidR="00B62349">
              <w:rPr>
                <w:noProof/>
                <w:webHidden/>
              </w:rPr>
              <w:t>2</w:t>
            </w:r>
            <w:r w:rsidR="00B62349">
              <w:rPr>
                <w:noProof/>
                <w:webHidden/>
              </w:rPr>
              <w:fldChar w:fldCharType="end"/>
            </w:r>
          </w:hyperlink>
        </w:p>
        <w:p w14:paraId="5EE5F23B" w14:textId="7C434134" w:rsidR="00B62349" w:rsidRDefault="00000000">
          <w:pPr>
            <w:pStyle w:val="TOC3"/>
            <w:tabs>
              <w:tab w:val="right" w:leader="dot" w:pos="9010"/>
            </w:tabs>
            <w:rPr>
              <w:noProof/>
              <w:lang w:val="en-HK"/>
            </w:rPr>
          </w:pPr>
          <w:hyperlink w:anchor="_Toc128398377" w:history="1">
            <w:r w:rsidR="00B62349" w:rsidRPr="005868DB">
              <w:rPr>
                <w:rStyle w:val="Hyperlink"/>
                <w:noProof/>
              </w:rPr>
              <w:t>2.2.1 Catch-up vaccination program for pre-school children of migrant workers</w:t>
            </w:r>
            <w:r w:rsidR="00B62349">
              <w:rPr>
                <w:noProof/>
                <w:webHidden/>
              </w:rPr>
              <w:tab/>
            </w:r>
            <w:r w:rsidR="00B62349">
              <w:rPr>
                <w:noProof/>
                <w:webHidden/>
              </w:rPr>
              <w:fldChar w:fldCharType="begin"/>
            </w:r>
            <w:r w:rsidR="00B62349">
              <w:rPr>
                <w:noProof/>
                <w:webHidden/>
              </w:rPr>
              <w:instrText xml:space="preserve"> PAGEREF _Toc128398377 \h </w:instrText>
            </w:r>
            <w:r w:rsidR="00B62349">
              <w:rPr>
                <w:noProof/>
                <w:webHidden/>
              </w:rPr>
            </w:r>
            <w:r w:rsidR="00B62349">
              <w:rPr>
                <w:noProof/>
                <w:webHidden/>
              </w:rPr>
              <w:fldChar w:fldCharType="separate"/>
            </w:r>
            <w:r w:rsidR="00B62349">
              <w:rPr>
                <w:noProof/>
                <w:webHidden/>
              </w:rPr>
              <w:t>3</w:t>
            </w:r>
            <w:r w:rsidR="00B62349">
              <w:rPr>
                <w:noProof/>
                <w:webHidden/>
              </w:rPr>
              <w:fldChar w:fldCharType="end"/>
            </w:r>
          </w:hyperlink>
        </w:p>
        <w:p w14:paraId="368AAB15" w14:textId="383E6831" w:rsidR="00B62349" w:rsidRDefault="00000000">
          <w:pPr>
            <w:pStyle w:val="TOC3"/>
            <w:tabs>
              <w:tab w:val="right" w:leader="dot" w:pos="9010"/>
            </w:tabs>
            <w:rPr>
              <w:noProof/>
              <w:lang w:val="en-HK"/>
            </w:rPr>
          </w:pPr>
          <w:hyperlink w:anchor="_Toc128398378" w:history="1">
            <w:r w:rsidR="00B62349" w:rsidRPr="005868DB">
              <w:rPr>
                <w:rStyle w:val="Hyperlink"/>
                <w:noProof/>
              </w:rPr>
              <w:t>2.2.2 Catch-up vaccination program for migrant workers</w:t>
            </w:r>
            <w:r w:rsidR="00B62349">
              <w:rPr>
                <w:noProof/>
                <w:webHidden/>
              </w:rPr>
              <w:tab/>
            </w:r>
            <w:r w:rsidR="00B62349">
              <w:rPr>
                <w:noProof/>
                <w:webHidden/>
              </w:rPr>
              <w:fldChar w:fldCharType="begin"/>
            </w:r>
            <w:r w:rsidR="00B62349">
              <w:rPr>
                <w:noProof/>
                <w:webHidden/>
              </w:rPr>
              <w:instrText xml:space="preserve"> PAGEREF _Toc128398378 \h </w:instrText>
            </w:r>
            <w:r w:rsidR="00B62349">
              <w:rPr>
                <w:noProof/>
                <w:webHidden/>
              </w:rPr>
            </w:r>
            <w:r w:rsidR="00B62349">
              <w:rPr>
                <w:noProof/>
                <w:webHidden/>
              </w:rPr>
              <w:fldChar w:fldCharType="separate"/>
            </w:r>
            <w:r w:rsidR="00B62349">
              <w:rPr>
                <w:noProof/>
                <w:webHidden/>
              </w:rPr>
              <w:t>3</w:t>
            </w:r>
            <w:r w:rsidR="00B62349">
              <w:rPr>
                <w:noProof/>
                <w:webHidden/>
              </w:rPr>
              <w:fldChar w:fldCharType="end"/>
            </w:r>
          </w:hyperlink>
        </w:p>
        <w:p w14:paraId="00D222D1" w14:textId="5EB8194C" w:rsidR="00B62349" w:rsidRDefault="00000000">
          <w:pPr>
            <w:pStyle w:val="TOC3"/>
            <w:tabs>
              <w:tab w:val="right" w:leader="dot" w:pos="9010"/>
            </w:tabs>
            <w:rPr>
              <w:noProof/>
              <w:lang w:val="en-HK"/>
            </w:rPr>
          </w:pPr>
          <w:hyperlink w:anchor="_Toc128398379" w:history="1">
            <w:r w:rsidR="00B62349" w:rsidRPr="005868DB">
              <w:rPr>
                <w:rStyle w:val="Hyperlink"/>
                <w:noProof/>
              </w:rPr>
              <w:t>2.2.3 The 2010 synchronized nationwide supplementary immunization activity (SIA)</w:t>
            </w:r>
            <w:r w:rsidR="00B62349">
              <w:rPr>
                <w:noProof/>
                <w:webHidden/>
              </w:rPr>
              <w:tab/>
            </w:r>
            <w:r w:rsidR="00B62349">
              <w:rPr>
                <w:noProof/>
                <w:webHidden/>
              </w:rPr>
              <w:fldChar w:fldCharType="begin"/>
            </w:r>
            <w:r w:rsidR="00B62349">
              <w:rPr>
                <w:noProof/>
                <w:webHidden/>
              </w:rPr>
              <w:instrText xml:space="preserve"> PAGEREF _Toc128398379 \h </w:instrText>
            </w:r>
            <w:r w:rsidR="00B62349">
              <w:rPr>
                <w:noProof/>
                <w:webHidden/>
              </w:rPr>
            </w:r>
            <w:r w:rsidR="00B62349">
              <w:rPr>
                <w:noProof/>
                <w:webHidden/>
              </w:rPr>
              <w:fldChar w:fldCharType="separate"/>
            </w:r>
            <w:r w:rsidR="00B62349">
              <w:rPr>
                <w:noProof/>
                <w:webHidden/>
              </w:rPr>
              <w:t>3</w:t>
            </w:r>
            <w:r w:rsidR="00B62349">
              <w:rPr>
                <w:noProof/>
                <w:webHidden/>
              </w:rPr>
              <w:fldChar w:fldCharType="end"/>
            </w:r>
          </w:hyperlink>
        </w:p>
        <w:p w14:paraId="188E6BC4" w14:textId="604E646B" w:rsidR="00B62349" w:rsidRDefault="00000000">
          <w:pPr>
            <w:pStyle w:val="TOC1"/>
            <w:tabs>
              <w:tab w:val="right" w:leader="dot" w:pos="9010"/>
            </w:tabs>
            <w:rPr>
              <w:noProof/>
              <w:lang w:val="en-HK"/>
            </w:rPr>
          </w:pPr>
          <w:hyperlink w:anchor="_Toc128398380" w:history="1">
            <w:r w:rsidR="00B62349" w:rsidRPr="005868DB">
              <w:rPr>
                <w:rStyle w:val="Hyperlink"/>
                <w:noProof/>
                <w:lang w:val="en-HK"/>
              </w:rPr>
              <w:t>3 Priors of model state</w:t>
            </w:r>
            <w:r w:rsidR="00B62349">
              <w:rPr>
                <w:noProof/>
                <w:webHidden/>
              </w:rPr>
              <w:tab/>
            </w:r>
            <w:r w:rsidR="00B62349">
              <w:rPr>
                <w:noProof/>
                <w:webHidden/>
              </w:rPr>
              <w:fldChar w:fldCharType="begin"/>
            </w:r>
            <w:r w:rsidR="00B62349">
              <w:rPr>
                <w:noProof/>
                <w:webHidden/>
              </w:rPr>
              <w:instrText xml:space="preserve"> PAGEREF _Toc128398380 \h </w:instrText>
            </w:r>
            <w:r w:rsidR="00B62349">
              <w:rPr>
                <w:noProof/>
                <w:webHidden/>
              </w:rPr>
            </w:r>
            <w:r w:rsidR="00B62349">
              <w:rPr>
                <w:noProof/>
                <w:webHidden/>
              </w:rPr>
              <w:fldChar w:fldCharType="separate"/>
            </w:r>
            <w:r w:rsidR="00B62349">
              <w:rPr>
                <w:noProof/>
                <w:webHidden/>
              </w:rPr>
              <w:t>3</w:t>
            </w:r>
            <w:r w:rsidR="00B62349">
              <w:rPr>
                <w:noProof/>
                <w:webHidden/>
              </w:rPr>
              <w:fldChar w:fldCharType="end"/>
            </w:r>
          </w:hyperlink>
        </w:p>
        <w:p w14:paraId="2AC90EC1" w14:textId="37DA741D" w:rsidR="00B62349" w:rsidRDefault="00000000">
          <w:pPr>
            <w:pStyle w:val="TOC1"/>
            <w:tabs>
              <w:tab w:val="right" w:leader="dot" w:pos="9010"/>
            </w:tabs>
            <w:rPr>
              <w:noProof/>
              <w:lang w:val="en-HK"/>
            </w:rPr>
          </w:pPr>
          <w:hyperlink w:anchor="_Toc128398381" w:history="1">
            <w:r w:rsidR="00B62349" w:rsidRPr="005868DB">
              <w:rPr>
                <w:rStyle w:val="Hyperlink"/>
                <w:noProof/>
              </w:rPr>
              <w:t>4 Hypotheses tested and model settings</w:t>
            </w:r>
            <w:r w:rsidR="00B62349">
              <w:rPr>
                <w:noProof/>
                <w:webHidden/>
              </w:rPr>
              <w:tab/>
            </w:r>
            <w:r w:rsidR="00B62349">
              <w:rPr>
                <w:noProof/>
                <w:webHidden/>
              </w:rPr>
              <w:fldChar w:fldCharType="begin"/>
            </w:r>
            <w:r w:rsidR="00B62349">
              <w:rPr>
                <w:noProof/>
                <w:webHidden/>
              </w:rPr>
              <w:instrText xml:space="preserve"> PAGEREF _Toc128398381 \h </w:instrText>
            </w:r>
            <w:r w:rsidR="00B62349">
              <w:rPr>
                <w:noProof/>
                <w:webHidden/>
              </w:rPr>
            </w:r>
            <w:r w:rsidR="00B62349">
              <w:rPr>
                <w:noProof/>
                <w:webHidden/>
              </w:rPr>
              <w:fldChar w:fldCharType="separate"/>
            </w:r>
            <w:r w:rsidR="00B62349">
              <w:rPr>
                <w:noProof/>
                <w:webHidden/>
              </w:rPr>
              <w:t>4</w:t>
            </w:r>
            <w:r w:rsidR="00B62349">
              <w:rPr>
                <w:noProof/>
                <w:webHidden/>
              </w:rPr>
              <w:fldChar w:fldCharType="end"/>
            </w:r>
          </w:hyperlink>
        </w:p>
        <w:p w14:paraId="7E47CB34" w14:textId="5B16CC37" w:rsidR="00B62349" w:rsidRDefault="00000000">
          <w:pPr>
            <w:pStyle w:val="TOC2"/>
            <w:tabs>
              <w:tab w:val="right" w:leader="dot" w:pos="9010"/>
            </w:tabs>
            <w:rPr>
              <w:noProof/>
              <w:lang w:val="en-HK"/>
            </w:rPr>
          </w:pPr>
          <w:hyperlink w:anchor="_Toc128398382" w:history="1">
            <w:r w:rsidR="00B62349" w:rsidRPr="005868DB">
              <w:rPr>
                <w:rStyle w:val="Hyperlink"/>
                <w:noProof/>
              </w:rPr>
              <w:t>4.1 Higher migrant susceptibility</w:t>
            </w:r>
            <w:r w:rsidR="00B62349">
              <w:rPr>
                <w:noProof/>
                <w:webHidden/>
              </w:rPr>
              <w:tab/>
            </w:r>
            <w:r w:rsidR="00B62349">
              <w:rPr>
                <w:noProof/>
                <w:webHidden/>
              </w:rPr>
              <w:fldChar w:fldCharType="begin"/>
            </w:r>
            <w:r w:rsidR="00B62349">
              <w:rPr>
                <w:noProof/>
                <w:webHidden/>
              </w:rPr>
              <w:instrText xml:space="preserve"> PAGEREF _Toc128398382 \h </w:instrText>
            </w:r>
            <w:r w:rsidR="00B62349">
              <w:rPr>
                <w:noProof/>
                <w:webHidden/>
              </w:rPr>
            </w:r>
            <w:r w:rsidR="00B62349">
              <w:rPr>
                <w:noProof/>
                <w:webHidden/>
              </w:rPr>
              <w:fldChar w:fldCharType="separate"/>
            </w:r>
            <w:r w:rsidR="00B62349">
              <w:rPr>
                <w:noProof/>
                <w:webHidden/>
              </w:rPr>
              <w:t>4</w:t>
            </w:r>
            <w:r w:rsidR="00B62349">
              <w:rPr>
                <w:noProof/>
                <w:webHidden/>
              </w:rPr>
              <w:fldChar w:fldCharType="end"/>
            </w:r>
          </w:hyperlink>
        </w:p>
        <w:p w14:paraId="234B7E38" w14:textId="49EAB790" w:rsidR="00B62349" w:rsidRDefault="00000000">
          <w:pPr>
            <w:pStyle w:val="TOC2"/>
            <w:tabs>
              <w:tab w:val="right" w:leader="dot" w:pos="9010"/>
            </w:tabs>
            <w:rPr>
              <w:noProof/>
              <w:lang w:val="en-HK"/>
            </w:rPr>
          </w:pPr>
          <w:hyperlink w:anchor="_Toc128398383" w:history="1">
            <w:r w:rsidR="00B62349" w:rsidRPr="005868DB">
              <w:rPr>
                <w:rStyle w:val="Hyperlink"/>
                <w:noProof/>
              </w:rPr>
              <w:t>4.2 Case importation due to migrant influx</w:t>
            </w:r>
            <w:r w:rsidR="00B62349">
              <w:rPr>
                <w:noProof/>
                <w:webHidden/>
              </w:rPr>
              <w:tab/>
            </w:r>
            <w:r w:rsidR="00B62349">
              <w:rPr>
                <w:noProof/>
                <w:webHidden/>
              </w:rPr>
              <w:fldChar w:fldCharType="begin"/>
            </w:r>
            <w:r w:rsidR="00B62349">
              <w:rPr>
                <w:noProof/>
                <w:webHidden/>
              </w:rPr>
              <w:instrText xml:space="preserve"> PAGEREF _Toc128398383 \h </w:instrText>
            </w:r>
            <w:r w:rsidR="00B62349">
              <w:rPr>
                <w:noProof/>
                <w:webHidden/>
              </w:rPr>
            </w:r>
            <w:r w:rsidR="00B62349">
              <w:rPr>
                <w:noProof/>
                <w:webHidden/>
              </w:rPr>
              <w:fldChar w:fldCharType="separate"/>
            </w:r>
            <w:r w:rsidR="00B62349">
              <w:rPr>
                <w:noProof/>
                <w:webHidden/>
              </w:rPr>
              <w:t>5</w:t>
            </w:r>
            <w:r w:rsidR="00B62349">
              <w:rPr>
                <w:noProof/>
                <w:webHidden/>
              </w:rPr>
              <w:fldChar w:fldCharType="end"/>
            </w:r>
          </w:hyperlink>
        </w:p>
        <w:p w14:paraId="2235F101" w14:textId="59BEEE70" w:rsidR="00B62349" w:rsidRDefault="00000000">
          <w:pPr>
            <w:pStyle w:val="TOC2"/>
            <w:tabs>
              <w:tab w:val="right" w:leader="dot" w:pos="9010"/>
            </w:tabs>
            <w:rPr>
              <w:noProof/>
              <w:lang w:val="en-HK"/>
            </w:rPr>
          </w:pPr>
          <w:hyperlink w:anchor="_Toc128398384" w:history="1">
            <w:r w:rsidR="00B62349" w:rsidRPr="005868DB">
              <w:rPr>
                <w:rStyle w:val="Hyperlink"/>
                <w:noProof/>
              </w:rPr>
              <w:t>4.3 Timing of migrant influx</w:t>
            </w:r>
            <w:r w:rsidR="00B62349">
              <w:rPr>
                <w:noProof/>
                <w:webHidden/>
              </w:rPr>
              <w:tab/>
            </w:r>
            <w:r w:rsidR="00B62349">
              <w:rPr>
                <w:noProof/>
                <w:webHidden/>
              </w:rPr>
              <w:fldChar w:fldCharType="begin"/>
            </w:r>
            <w:r w:rsidR="00B62349">
              <w:rPr>
                <w:noProof/>
                <w:webHidden/>
              </w:rPr>
              <w:instrText xml:space="preserve"> PAGEREF _Toc128398384 \h </w:instrText>
            </w:r>
            <w:r w:rsidR="00B62349">
              <w:rPr>
                <w:noProof/>
                <w:webHidden/>
              </w:rPr>
            </w:r>
            <w:r w:rsidR="00B62349">
              <w:rPr>
                <w:noProof/>
                <w:webHidden/>
              </w:rPr>
              <w:fldChar w:fldCharType="separate"/>
            </w:r>
            <w:r w:rsidR="00B62349">
              <w:rPr>
                <w:noProof/>
                <w:webHidden/>
              </w:rPr>
              <w:t>5</w:t>
            </w:r>
            <w:r w:rsidR="00B62349">
              <w:rPr>
                <w:noProof/>
                <w:webHidden/>
              </w:rPr>
              <w:fldChar w:fldCharType="end"/>
            </w:r>
          </w:hyperlink>
        </w:p>
        <w:p w14:paraId="0A6B71DB" w14:textId="16D5A169" w:rsidR="00B62349" w:rsidRDefault="00000000">
          <w:pPr>
            <w:pStyle w:val="TOC2"/>
            <w:tabs>
              <w:tab w:val="right" w:leader="dot" w:pos="9010"/>
            </w:tabs>
            <w:rPr>
              <w:noProof/>
              <w:lang w:val="en-HK"/>
            </w:rPr>
          </w:pPr>
          <w:hyperlink w:anchor="_Toc128398385" w:history="1">
            <w:r w:rsidR="00B62349" w:rsidRPr="005868DB">
              <w:rPr>
                <w:rStyle w:val="Hyperlink"/>
                <w:noProof/>
              </w:rPr>
              <w:t>4.4 Increased migrant mixing</w:t>
            </w:r>
            <w:r w:rsidR="00B62349">
              <w:rPr>
                <w:noProof/>
                <w:webHidden/>
              </w:rPr>
              <w:tab/>
            </w:r>
            <w:r w:rsidR="00B62349">
              <w:rPr>
                <w:noProof/>
                <w:webHidden/>
              </w:rPr>
              <w:fldChar w:fldCharType="begin"/>
            </w:r>
            <w:r w:rsidR="00B62349">
              <w:rPr>
                <w:noProof/>
                <w:webHidden/>
              </w:rPr>
              <w:instrText xml:space="preserve"> PAGEREF _Toc128398385 \h </w:instrText>
            </w:r>
            <w:r w:rsidR="00B62349">
              <w:rPr>
                <w:noProof/>
                <w:webHidden/>
              </w:rPr>
            </w:r>
            <w:r w:rsidR="00B62349">
              <w:rPr>
                <w:noProof/>
                <w:webHidden/>
              </w:rPr>
              <w:fldChar w:fldCharType="separate"/>
            </w:r>
            <w:r w:rsidR="00B62349">
              <w:rPr>
                <w:noProof/>
                <w:webHidden/>
              </w:rPr>
              <w:t>5</w:t>
            </w:r>
            <w:r w:rsidR="00B62349">
              <w:rPr>
                <w:noProof/>
                <w:webHidden/>
              </w:rPr>
              <w:fldChar w:fldCharType="end"/>
            </w:r>
          </w:hyperlink>
        </w:p>
        <w:p w14:paraId="56FBA4C4" w14:textId="42779952" w:rsidR="00B62349" w:rsidRDefault="00000000">
          <w:pPr>
            <w:pStyle w:val="TOC2"/>
            <w:tabs>
              <w:tab w:val="right" w:leader="dot" w:pos="9010"/>
            </w:tabs>
            <w:rPr>
              <w:noProof/>
              <w:lang w:val="en-HK"/>
            </w:rPr>
          </w:pPr>
          <w:hyperlink w:anchor="_Toc128398386" w:history="1">
            <w:r w:rsidR="00B62349" w:rsidRPr="005868DB">
              <w:rPr>
                <w:rStyle w:val="Hyperlink"/>
                <w:noProof/>
              </w:rPr>
              <w:t>4.5 Shorter duration of maternal immunity</w:t>
            </w:r>
            <w:r w:rsidR="00B62349">
              <w:rPr>
                <w:noProof/>
                <w:webHidden/>
              </w:rPr>
              <w:tab/>
            </w:r>
            <w:r w:rsidR="00B62349">
              <w:rPr>
                <w:noProof/>
                <w:webHidden/>
              </w:rPr>
              <w:fldChar w:fldCharType="begin"/>
            </w:r>
            <w:r w:rsidR="00B62349">
              <w:rPr>
                <w:noProof/>
                <w:webHidden/>
              </w:rPr>
              <w:instrText xml:space="preserve"> PAGEREF _Toc128398386 \h </w:instrText>
            </w:r>
            <w:r w:rsidR="00B62349">
              <w:rPr>
                <w:noProof/>
                <w:webHidden/>
              </w:rPr>
            </w:r>
            <w:r w:rsidR="00B62349">
              <w:rPr>
                <w:noProof/>
                <w:webHidden/>
              </w:rPr>
              <w:fldChar w:fldCharType="separate"/>
            </w:r>
            <w:r w:rsidR="00B62349">
              <w:rPr>
                <w:noProof/>
                <w:webHidden/>
              </w:rPr>
              <w:t>6</w:t>
            </w:r>
            <w:r w:rsidR="00B62349">
              <w:rPr>
                <w:noProof/>
                <w:webHidden/>
              </w:rPr>
              <w:fldChar w:fldCharType="end"/>
            </w:r>
          </w:hyperlink>
        </w:p>
        <w:p w14:paraId="0EECD49D" w14:textId="19A76E48" w:rsidR="00B62349" w:rsidRDefault="00000000">
          <w:pPr>
            <w:pStyle w:val="TOC2"/>
            <w:tabs>
              <w:tab w:val="right" w:leader="dot" w:pos="9010"/>
            </w:tabs>
            <w:rPr>
              <w:noProof/>
              <w:lang w:val="en-HK"/>
            </w:rPr>
          </w:pPr>
          <w:hyperlink w:anchor="_Toc128398387" w:history="1">
            <w:r w:rsidR="00B62349" w:rsidRPr="005868DB">
              <w:rPr>
                <w:rStyle w:val="Hyperlink"/>
                <w:noProof/>
              </w:rPr>
              <w:t>4.6 Increased infant mixing</w:t>
            </w:r>
            <w:r w:rsidR="00B62349">
              <w:rPr>
                <w:noProof/>
                <w:webHidden/>
              </w:rPr>
              <w:tab/>
            </w:r>
            <w:r w:rsidR="00B62349">
              <w:rPr>
                <w:noProof/>
                <w:webHidden/>
              </w:rPr>
              <w:fldChar w:fldCharType="begin"/>
            </w:r>
            <w:r w:rsidR="00B62349">
              <w:rPr>
                <w:noProof/>
                <w:webHidden/>
              </w:rPr>
              <w:instrText xml:space="preserve"> PAGEREF _Toc128398387 \h </w:instrText>
            </w:r>
            <w:r w:rsidR="00B62349">
              <w:rPr>
                <w:noProof/>
                <w:webHidden/>
              </w:rPr>
            </w:r>
            <w:r w:rsidR="00B62349">
              <w:rPr>
                <w:noProof/>
                <w:webHidden/>
              </w:rPr>
              <w:fldChar w:fldCharType="separate"/>
            </w:r>
            <w:r w:rsidR="00B62349">
              <w:rPr>
                <w:noProof/>
                <w:webHidden/>
              </w:rPr>
              <w:t>6</w:t>
            </w:r>
            <w:r w:rsidR="00B62349">
              <w:rPr>
                <w:noProof/>
                <w:webHidden/>
              </w:rPr>
              <w:fldChar w:fldCharType="end"/>
            </w:r>
          </w:hyperlink>
        </w:p>
        <w:p w14:paraId="2EA5439B" w14:textId="5E2BF34D" w:rsidR="00B62349" w:rsidRDefault="00000000">
          <w:pPr>
            <w:pStyle w:val="TOC1"/>
            <w:tabs>
              <w:tab w:val="right" w:leader="dot" w:pos="9010"/>
            </w:tabs>
            <w:rPr>
              <w:noProof/>
              <w:lang w:val="en-HK"/>
            </w:rPr>
          </w:pPr>
          <w:hyperlink w:anchor="_Toc128398388" w:history="1">
            <w:r w:rsidR="00B62349" w:rsidRPr="005868DB">
              <w:rPr>
                <w:rStyle w:val="Hyperlink"/>
                <w:noProof/>
              </w:rPr>
              <w:t>References</w:t>
            </w:r>
            <w:r w:rsidR="00B62349">
              <w:rPr>
                <w:noProof/>
                <w:webHidden/>
              </w:rPr>
              <w:tab/>
            </w:r>
            <w:r w:rsidR="00B62349">
              <w:rPr>
                <w:noProof/>
                <w:webHidden/>
              </w:rPr>
              <w:fldChar w:fldCharType="begin"/>
            </w:r>
            <w:r w:rsidR="00B62349">
              <w:rPr>
                <w:noProof/>
                <w:webHidden/>
              </w:rPr>
              <w:instrText xml:space="preserve"> PAGEREF _Toc128398388 \h </w:instrText>
            </w:r>
            <w:r w:rsidR="00B62349">
              <w:rPr>
                <w:noProof/>
                <w:webHidden/>
              </w:rPr>
            </w:r>
            <w:r w:rsidR="00B62349">
              <w:rPr>
                <w:noProof/>
                <w:webHidden/>
              </w:rPr>
              <w:fldChar w:fldCharType="separate"/>
            </w:r>
            <w:r w:rsidR="00B62349">
              <w:rPr>
                <w:noProof/>
                <w:webHidden/>
              </w:rPr>
              <w:t>6</w:t>
            </w:r>
            <w:r w:rsidR="00B62349">
              <w:rPr>
                <w:noProof/>
                <w:webHidden/>
              </w:rPr>
              <w:fldChar w:fldCharType="end"/>
            </w:r>
          </w:hyperlink>
        </w:p>
        <w:p w14:paraId="0482FA8A" w14:textId="151F7078" w:rsidR="00EB2813" w:rsidRPr="00EF1C1A" w:rsidRDefault="00496271">
          <w:r w:rsidRPr="00EF1C1A">
            <w:fldChar w:fldCharType="end"/>
          </w:r>
        </w:p>
      </w:sdtContent>
    </w:sdt>
    <w:p w14:paraId="454DC44A" w14:textId="77777777" w:rsidR="000F3C80" w:rsidRPr="00EF1C1A" w:rsidRDefault="000F3C80">
      <w:pPr>
        <w:spacing w:after="0" w:line="240" w:lineRule="auto"/>
        <w:rPr>
          <w:rFonts w:asciiTheme="majorHAnsi" w:eastAsiaTheme="majorEastAsia" w:hAnsiTheme="majorHAnsi" w:cstheme="majorBidi"/>
          <w:b/>
          <w:sz w:val="32"/>
          <w:szCs w:val="32"/>
        </w:rPr>
      </w:pPr>
      <w:bookmarkStart w:id="0" w:name="demographic-data-and-estimates"/>
      <w:bookmarkEnd w:id="0"/>
      <w:r w:rsidRPr="00EF1C1A">
        <w:br w:type="page"/>
      </w:r>
    </w:p>
    <w:p w14:paraId="2FD221DA" w14:textId="403ED3BD" w:rsidR="00EB2813" w:rsidRPr="00EF1C1A" w:rsidRDefault="00496271">
      <w:pPr>
        <w:pStyle w:val="Heading1"/>
      </w:pPr>
      <w:bookmarkStart w:id="1" w:name="_Toc128398371"/>
      <w:r w:rsidRPr="00EF1C1A">
        <w:lastRenderedPageBreak/>
        <w:t>1 Demographic data and estimates</w:t>
      </w:r>
      <w:bookmarkEnd w:id="1"/>
    </w:p>
    <w:p w14:paraId="2B6977FF" w14:textId="77777777" w:rsidR="00EB2813" w:rsidRPr="00EF1C1A" w:rsidRDefault="00496271" w:rsidP="00275A69">
      <w:pPr>
        <w:pStyle w:val="Heading2"/>
      </w:pPr>
      <w:bookmarkStart w:id="2" w:name="birth-and-death"/>
      <w:bookmarkStart w:id="3" w:name="_Toc128398372"/>
      <w:bookmarkEnd w:id="2"/>
      <w:r w:rsidRPr="00EF1C1A">
        <w:t>1.1 Birth and death</w:t>
      </w:r>
      <w:bookmarkEnd w:id="3"/>
    </w:p>
    <w:p w14:paraId="082D3646" w14:textId="3725FA32" w:rsidR="00EB2813" w:rsidRPr="00EF1C1A" w:rsidRDefault="00496271">
      <w:r w:rsidRPr="00EF1C1A">
        <w:t>Yearly data from 1995 to 201</w:t>
      </w:r>
      <w:r w:rsidR="00C1490B" w:rsidRPr="00EF1C1A">
        <w:t>9</w:t>
      </w:r>
      <w:r w:rsidRPr="00EF1C1A">
        <w:t xml:space="preserve"> on birth and death rates were compiled from the Beijing Statistical Yearbook [1]. Yearly infant death rates during this period were available from the Beijing Municipal Commission of Health and Family Planning [2]. We calculated the death rates for those aged 1-14, 15-50, and &gt;50 based on the age-specific urban death rates from the national census in 2010 [3].</w:t>
      </w:r>
    </w:p>
    <w:p w14:paraId="4987DD97" w14:textId="77777777" w:rsidR="00EB2813" w:rsidRPr="00EF1C1A" w:rsidRDefault="00496271" w:rsidP="00275A69">
      <w:pPr>
        <w:pStyle w:val="Heading2"/>
      </w:pPr>
      <w:bookmarkStart w:id="4" w:name="migration"/>
      <w:bookmarkStart w:id="5" w:name="_Toc128398373"/>
      <w:bookmarkEnd w:id="4"/>
      <w:r w:rsidRPr="00EF1C1A">
        <w:t>1.2 Migration</w:t>
      </w:r>
      <w:bookmarkEnd w:id="5"/>
    </w:p>
    <w:p w14:paraId="7C4CD29A" w14:textId="77777777" w:rsidR="00EB2813" w:rsidRPr="00EF1C1A" w:rsidRDefault="00496271">
      <w:r w:rsidRPr="00EF1C1A">
        <w:t>We calculated the yearly net numbers of migrants in Beijing according to</w:t>
      </w:r>
    </w:p>
    <w:p w14:paraId="306D95D3" w14:textId="771981BC" w:rsidR="00093AF7" w:rsidRPr="00EF1C1A" w:rsidRDefault="00000000">
      <m:oMathPara>
        <m:oMath>
          <m:eqArr>
            <m:eqArrPr>
              <m:maxDist m:val="1"/>
              <m:ctrlPr>
                <w:rPr>
                  <w:rFonts w:ascii="Cambria Math" w:hAnsi="Cambria Math"/>
                  <w:i/>
                </w:rPr>
              </m:ctrlPr>
            </m:eqArrPr>
            <m:e>
              <m:r>
                <w:rPr>
                  <w:rFonts w:ascii="Cambria Math" w:hAnsi="Cambria Math"/>
                </w:rPr>
                <m:t>migratio</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y-1</m:t>
                  </m:r>
                </m:sub>
              </m:sSub>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y</m:t>
                  </m:r>
                </m:sub>
              </m:sSub>
              <m:r>
                <w:rPr>
                  <w:rFonts w:ascii="Cambria Math" w:hAnsi="Cambria Math"/>
                </w:rPr>
                <m:t>×</m:t>
              </m:r>
              <m:d>
                <m:dPr>
                  <m:ctrlPr>
                    <w:rPr>
                      <w:rFonts w:ascii="Cambria Math" w:hAnsi="Cambria Math"/>
                      <w:i/>
                    </w:rPr>
                  </m:ctrlPr>
                </m:dPr>
                <m:e>
                  <m:r>
                    <w:rPr>
                      <w:rFonts w:ascii="Cambria Math" w:hAnsi="Cambria Math"/>
                    </w:rPr>
                    <m:t>birth.rat</m:t>
                  </m:r>
                  <m:sSub>
                    <m:sSubPr>
                      <m:ctrlPr>
                        <w:rPr>
                          <w:rFonts w:ascii="Cambria Math" w:hAnsi="Cambria Math"/>
                        </w:rPr>
                      </m:ctrlPr>
                    </m:sSubPr>
                    <m:e>
                      <m:r>
                        <w:rPr>
                          <w:rFonts w:ascii="Cambria Math" w:hAnsi="Cambria Math"/>
                        </w:rPr>
                        <m:t>e</m:t>
                      </m:r>
                    </m:e>
                    <m:sub>
                      <m:r>
                        <w:rPr>
                          <w:rFonts w:ascii="Cambria Math" w:hAnsi="Cambria Math"/>
                        </w:rPr>
                        <m:t>y</m:t>
                      </m:r>
                    </m:sub>
                  </m:sSub>
                  <m:r>
                    <w:rPr>
                      <w:rFonts w:ascii="Cambria Math" w:hAnsi="Cambria Math"/>
                    </w:rPr>
                    <m:t>-death.rat</m:t>
                  </m:r>
                  <m:sSub>
                    <m:sSubPr>
                      <m:ctrlPr>
                        <w:rPr>
                          <w:rFonts w:ascii="Cambria Math" w:hAnsi="Cambria Math"/>
                        </w:rPr>
                      </m:ctrlPr>
                    </m:sSubPr>
                    <m:e>
                      <m:r>
                        <w:rPr>
                          <w:rFonts w:ascii="Cambria Math" w:hAnsi="Cambria Math"/>
                        </w:rPr>
                        <m:t>e</m:t>
                      </m:r>
                    </m:e>
                    <m:sub>
                      <m:r>
                        <w:rPr>
                          <w:rFonts w:ascii="Cambria Math" w:hAnsi="Cambria Math"/>
                        </w:rPr>
                        <m:t>y</m:t>
                      </m:r>
                    </m:sub>
                  </m:sSub>
                </m:e>
              </m:d>
              <m:r>
                <w:rPr>
                  <w:rFonts w:ascii="Cambria Math" w:hAnsi="Cambria Math"/>
                </w:rPr>
                <m:t>#</m:t>
              </m:r>
              <m:d>
                <m:dPr>
                  <m:ctrlPr>
                    <w:rPr>
                      <w:rFonts w:ascii="Cambria Math" w:hAnsi="Cambria Math"/>
                      <w:i/>
                    </w:rPr>
                  </m:ctrlPr>
                </m:dPr>
                <m:e>
                  <m:r>
                    <w:rPr>
                      <w:rFonts w:ascii="Cambria Math" w:hAnsi="Cambria Math"/>
                    </w:rPr>
                    <m:t>1</m:t>
                  </m:r>
                </m:e>
              </m:d>
            </m:e>
          </m:eqArr>
        </m:oMath>
      </m:oMathPara>
    </w:p>
    <w:p w14:paraId="4F1EEDF3" w14:textId="0F7BDBB3" w:rsidR="00EB2813" w:rsidRPr="00EF1C1A" w:rsidRDefault="00496271">
      <w:r w:rsidRPr="00EF1C1A">
        <w:t xml:space="preserve">where </w:t>
      </w:r>
      <m:oMath>
        <m:r>
          <w:rPr>
            <w:rFonts w:ascii="Cambria Math" w:hAnsi="Cambria Math"/>
          </w:rPr>
          <m:t>y</m:t>
        </m:r>
      </m:oMath>
      <w:r w:rsidRPr="00EF1C1A">
        <w:t xml:space="preserve"> is the calendar year. The term </w:t>
      </w:r>
      <m:oMath>
        <m:r>
          <w:rPr>
            <w:rFonts w:ascii="Cambria Math" w:hAnsi="Cambria Math"/>
          </w:rPr>
          <m:t>populatio</m:t>
        </m:r>
        <m:sSub>
          <m:sSubPr>
            <m:ctrlPr>
              <w:rPr>
                <w:rFonts w:ascii="Cambria Math" w:hAnsi="Cambria Math"/>
              </w:rPr>
            </m:ctrlPr>
          </m:sSubPr>
          <m:e>
            <m:r>
              <w:rPr>
                <w:rFonts w:ascii="Cambria Math" w:hAnsi="Cambria Math"/>
              </w:rPr>
              <m:t>n</m:t>
            </m:r>
          </m:e>
          <m:sub>
            <m:r>
              <w:rPr>
                <w:rFonts w:ascii="Cambria Math" w:hAnsi="Cambria Math"/>
              </w:rPr>
              <m:t>y</m:t>
            </m:r>
          </m:sub>
        </m:sSub>
      </m:oMath>
      <w:r w:rsidRPr="00EF1C1A">
        <w:t xml:space="preserve"> represents the total population in Beijing in Year </w:t>
      </w:r>
      <m:oMath>
        <m:r>
          <w:rPr>
            <w:rFonts w:ascii="Cambria Math" w:hAnsi="Cambria Math"/>
          </w:rPr>
          <m:t>y</m:t>
        </m:r>
      </m:oMath>
      <w:r w:rsidRPr="00EF1C1A">
        <w:t xml:space="preserve"> [1]. Because the total population increased in most years during the study period, estimated net migration was positive in most of the years. Based on the age structure of migrants in 2010 [4], we calculated the yearly net migration in those aged &lt;1, 1-14, 15-50, &gt;50 years, i.e., the four age groups in our model. Using the yearly migration, we further calculated daily migration, and the calculation varied by the tested hypothesis (Section 4.</w:t>
      </w:r>
      <w:r w:rsidR="0073161B" w:rsidRPr="00EF1C1A">
        <w:t>3</w:t>
      </w:r>
      <w:r w:rsidRPr="00EF1C1A">
        <w:t>, Supplementary Materials).</w:t>
      </w:r>
    </w:p>
    <w:p w14:paraId="709B564C" w14:textId="77777777" w:rsidR="00EB2813" w:rsidRPr="00EF1C1A" w:rsidRDefault="00496271">
      <w:pPr>
        <w:pStyle w:val="Heading1"/>
      </w:pPr>
      <w:bookmarkStart w:id="6" w:name="vaccination-data-and-estimates"/>
      <w:bookmarkStart w:id="7" w:name="_Toc128398374"/>
      <w:bookmarkEnd w:id="6"/>
      <w:r w:rsidRPr="00EF1C1A">
        <w:t>2 Vaccination data and estimates</w:t>
      </w:r>
      <w:bookmarkEnd w:id="7"/>
    </w:p>
    <w:p w14:paraId="124A8558" w14:textId="77777777" w:rsidR="00EB2813" w:rsidRPr="00EF1C1A" w:rsidRDefault="00496271" w:rsidP="00275A69">
      <w:pPr>
        <w:pStyle w:val="Heading2"/>
      </w:pPr>
      <w:bookmarkStart w:id="8" w:name="routine-vaccination-program"/>
      <w:bookmarkStart w:id="9" w:name="_Toc128398375"/>
      <w:bookmarkEnd w:id="8"/>
      <w:r w:rsidRPr="00EF1C1A">
        <w:t>2.1 Routine vaccination program</w:t>
      </w:r>
      <w:bookmarkEnd w:id="9"/>
    </w:p>
    <w:p w14:paraId="4FEA2B74" w14:textId="77777777" w:rsidR="00EB2813" w:rsidRPr="00EF1C1A" w:rsidRDefault="00496271">
      <w:r w:rsidRPr="00EF1C1A">
        <w:t xml:space="preserve">In Equation (1) of the main text, </w:t>
      </w:r>
      <m:oMath>
        <m:sSup>
          <m:sSupPr>
            <m:ctrlPr>
              <w:rPr>
                <w:rFonts w:ascii="Cambria Math" w:hAnsi="Cambria Math"/>
              </w:rPr>
            </m:ctrlPr>
          </m:sSupPr>
          <m:e>
            <m:r>
              <w:rPr>
                <w:rFonts w:ascii="Cambria Math" w:hAnsi="Cambria Math"/>
              </w:rPr>
              <m:t>v</m:t>
            </m:r>
          </m:e>
          <m:sup>
            <m:r>
              <w:rPr>
                <w:rFonts w:ascii="Cambria Math" w:hAnsi="Cambria Math"/>
              </w:rPr>
              <m:t>r</m:t>
            </m:r>
          </m:sup>
        </m:sSup>
        <m:r>
          <w:rPr>
            <w:rFonts w:ascii="Cambria Math" w:hAnsi="Cambria Math"/>
          </w:rPr>
          <m:t>(t)</m:t>
        </m:r>
      </m:oMath>
      <w:r w:rsidRPr="00EF1C1A">
        <w:t xml:space="preserve"> represents the proportion of susceptibles acquiring immunity from routine vaccination; for simplicity, we included only 1 vaccine dose at 1 year old to represent the combined outcome of the first and the second dose at 8 months and 18-24 months of age [5]. To include the vaccination coverage and vaccine efficacy for both doses, we calculated </w:t>
      </w:r>
      <m:oMath>
        <m:sSup>
          <m:sSupPr>
            <m:ctrlPr>
              <w:rPr>
                <w:rFonts w:ascii="Cambria Math" w:hAnsi="Cambria Math"/>
              </w:rPr>
            </m:ctrlPr>
          </m:sSupPr>
          <m:e>
            <m:r>
              <w:rPr>
                <w:rFonts w:ascii="Cambria Math" w:hAnsi="Cambria Math"/>
              </w:rPr>
              <m:t>v</m:t>
            </m:r>
          </m:e>
          <m:sup>
            <m:r>
              <w:rPr>
                <w:rFonts w:ascii="Cambria Math" w:hAnsi="Cambria Math"/>
              </w:rPr>
              <m:t>r</m:t>
            </m:r>
          </m:sup>
        </m:sSup>
        <m:r>
          <w:rPr>
            <w:rFonts w:ascii="Cambria Math" w:hAnsi="Cambria Math"/>
          </w:rPr>
          <m:t>(t)</m:t>
        </m:r>
      </m:oMath>
      <w:r w:rsidRPr="00EF1C1A">
        <w:t xml:space="preserve"> as</w:t>
      </w:r>
    </w:p>
    <w:p w14:paraId="5E15CC05" w14:textId="0540C941" w:rsidR="00093AF7" w:rsidRPr="00EF1C1A" w:rsidRDefault="00000000">
      <m:oMathPara>
        <m:oMath>
          <m:eqArr>
            <m:eqArrPr>
              <m:maxDist m:val="1"/>
              <m:ctrlPr>
                <w:rPr>
                  <w:rFonts w:ascii="Cambria Math" w:hAnsi="Cambria Math"/>
                  <w:i/>
                </w:rPr>
              </m:ctrlPr>
            </m:eqArrPr>
            <m:e>
              <m:sSup>
                <m:sSupPr>
                  <m:ctrlPr>
                    <w:rPr>
                      <w:rFonts w:ascii="Cambria Math" w:hAnsi="Cambria Math"/>
                    </w:rPr>
                  </m:ctrlPr>
                </m:sSupPr>
                <m:e>
                  <m:r>
                    <w:rPr>
                      <w:rFonts w:ascii="Cambria Math" w:hAnsi="Cambria Math"/>
                    </w:rPr>
                    <m:t>v</m:t>
                  </m:r>
                </m:e>
                <m:sup>
                  <m:r>
                    <w:rPr>
                      <w:rFonts w:ascii="Cambria Math" w:hAnsi="Cambria Math"/>
                    </w:rPr>
                    <m:t>r</m:t>
                  </m:r>
                </m:sup>
              </m:sSup>
              <m:d>
                <m:dPr>
                  <m:ctrlPr>
                    <w:rPr>
                      <w:rFonts w:ascii="Cambria Math" w:hAnsi="Cambria Math"/>
                      <w:i/>
                    </w:rPr>
                  </m:ctrlPr>
                </m:dPr>
                <m:e>
                  <m:r>
                    <w:rPr>
                      <w:rFonts w:ascii="Cambria Math" w:hAnsi="Cambria Math"/>
                    </w:rPr>
                    <m:t>t</m:t>
                  </m:r>
                </m:e>
              </m:d>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2</m:t>
                  </m:r>
                </m:sub>
              </m:sSub>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2</m:t>
                  </m:r>
                </m:sub>
              </m:sSub>
              <m:r>
                <w:rPr>
                  <w:rFonts w:ascii="Cambria Math" w:hAnsi="Cambria Math"/>
                </w:rPr>
                <m:t>+</m:t>
              </m:r>
              <m:d>
                <m:dPr>
                  <m:ctrlPr>
                    <w:rPr>
                      <w:rFonts w:ascii="Cambria Math" w:hAnsi="Cambria Math"/>
                      <w:i/>
                    </w:rPr>
                  </m:ctrlPr>
                </m:dPr>
                <m:e>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2</m:t>
                      </m:r>
                    </m:sub>
                  </m:sSub>
                </m:e>
              </m:d>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1</m:t>
                  </m:r>
                </m:sub>
              </m:sSub>
              <m:r>
                <w:rPr>
                  <w:rFonts w:ascii="Cambria Math" w:hAnsi="Cambria Math"/>
                </w:rPr>
                <m:t>#</m:t>
              </m:r>
              <m:d>
                <m:dPr>
                  <m:ctrlPr>
                    <w:rPr>
                      <w:rFonts w:ascii="Cambria Math" w:hAnsi="Cambria Math"/>
                      <w:i/>
                    </w:rPr>
                  </m:ctrlPr>
                </m:dPr>
                <m:e>
                  <m:r>
                    <w:rPr>
                      <w:rFonts w:ascii="Cambria Math" w:hAnsi="Cambria Math"/>
                    </w:rPr>
                    <m:t>2</m:t>
                  </m:r>
                </m:e>
              </m:d>
            </m:e>
          </m:eqArr>
        </m:oMath>
      </m:oMathPara>
    </w:p>
    <w:p w14:paraId="277C4181" w14:textId="21E1D0A0" w:rsidR="00EB2813" w:rsidRPr="00EF1C1A" w:rsidRDefault="00496271" w:rsidP="00314169">
      <w:r w:rsidRPr="00EF1C1A">
        <w:t xml:space="preserve">where </w:t>
      </w:r>
      <m:oMath>
        <m:r>
          <w:rPr>
            <w:rFonts w:ascii="Cambria Math" w:hAnsi="Cambria Math"/>
          </w:rPr>
          <m:t>V</m:t>
        </m:r>
        <m:sSub>
          <m:sSubPr>
            <m:ctrlPr>
              <w:rPr>
                <w:rFonts w:ascii="Cambria Math" w:hAnsi="Cambria Math"/>
              </w:rPr>
            </m:ctrlPr>
          </m:sSubPr>
          <m:e>
            <m:r>
              <w:rPr>
                <w:rFonts w:ascii="Cambria Math" w:hAnsi="Cambria Math"/>
              </w:rPr>
              <m:t>C</m:t>
            </m:r>
          </m:e>
          <m:sub>
            <m:r>
              <w:rPr>
                <w:rFonts w:ascii="Cambria Math" w:hAnsi="Cambria Math"/>
              </w:rPr>
              <m:t>i</m:t>
            </m:r>
          </m:sub>
        </m:sSub>
      </m:oMath>
      <w:r w:rsidRPr="00EF1C1A">
        <w:t xml:space="preserve">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i</m:t>
            </m:r>
          </m:sub>
        </m:sSub>
      </m:oMath>
      <w:r w:rsidRPr="00EF1C1A">
        <w:t xml:space="preserve"> represent the vaccination coverage and efficacy for 1 and 2 doses.</w:t>
      </w:r>
      <w:r w:rsidR="00B500B4">
        <w:t xml:space="preserve"> </w:t>
      </w:r>
      <w:r w:rsidR="004D2A4D" w:rsidRPr="00EF1C1A">
        <w:t xml:space="preserve">For the period of 1995-2011, when vaccination data were available, the coverage of 1 and 2 doses was generally above 99% [5]; thus, for years after 2011, we assumed the coverage was the same as that in 2011. We set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1</m:t>
            </m:r>
          </m:sub>
        </m:sSub>
      </m:oMath>
      <w:r w:rsidR="004D2A4D" w:rsidRPr="00EF1C1A">
        <w:t xml:space="preserve"> and </w:t>
      </w:r>
      <m:oMath>
        <m:r>
          <w:rPr>
            <w:rFonts w:ascii="Cambria Math" w:hAnsi="Cambria Math"/>
          </w:rPr>
          <m:t>V</m:t>
        </m:r>
        <m:sSub>
          <m:sSubPr>
            <m:ctrlPr>
              <w:rPr>
                <w:rFonts w:ascii="Cambria Math" w:hAnsi="Cambria Math"/>
              </w:rPr>
            </m:ctrlPr>
          </m:sSubPr>
          <m:e>
            <m:r>
              <w:rPr>
                <w:rFonts w:ascii="Cambria Math" w:hAnsi="Cambria Math"/>
              </w:rPr>
              <m:t>E</m:t>
            </m:r>
          </m:e>
          <m:sub>
            <m:r>
              <w:rPr>
                <w:rFonts w:ascii="Cambria Math" w:hAnsi="Cambria Math"/>
              </w:rPr>
              <m:t>2</m:t>
            </m:r>
          </m:sub>
        </m:sSub>
      </m:oMath>
      <w:r w:rsidR="004D2A4D" w:rsidRPr="00EF1C1A">
        <w:t xml:space="preserve"> to </w:t>
      </w:r>
      <w:r w:rsidR="004D2A4D" w:rsidRPr="004D2A4D">
        <w:rPr>
          <w:color w:val="0070C0"/>
        </w:rPr>
        <w:t xml:space="preserve">85% </w:t>
      </w:r>
      <w:r w:rsidR="004D2A4D" w:rsidRPr="00EF1C1A">
        <w:t>and 95% based on the estimates of the efficacy of the measles vaccine in China [6,7]</w:t>
      </w:r>
      <w:r w:rsidR="00396A8A">
        <w:rPr>
          <w:rFonts w:ascii="Calibri" w:hAnsi="Calibri" w:cs="Calibri"/>
          <w:color w:val="0070C0"/>
        </w:rPr>
        <w:t xml:space="preserve">, which were consistent </w:t>
      </w:r>
      <w:r w:rsidR="00BC3C5F">
        <w:rPr>
          <w:rFonts w:ascii="Calibri" w:hAnsi="Calibri" w:cs="Calibri"/>
          <w:color w:val="0070C0"/>
        </w:rPr>
        <w:t xml:space="preserve">with </w:t>
      </w:r>
      <w:r w:rsidR="00396A8A">
        <w:rPr>
          <w:rFonts w:ascii="Calibri" w:hAnsi="Calibri" w:cs="Calibri"/>
          <w:color w:val="0070C0"/>
        </w:rPr>
        <w:t>the WHO position paper</w:t>
      </w:r>
      <w:r w:rsidR="00BC3C5F">
        <w:rPr>
          <w:rFonts w:ascii="Calibri" w:hAnsi="Calibri" w:cs="Calibri"/>
          <w:color w:val="0070C0"/>
        </w:rPr>
        <w:t xml:space="preserve"> on</w:t>
      </w:r>
      <w:r w:rsidR="00396A8A">
        <w:rPr>
          <w:rFonts w:ascii="Calibri" w:hAnsi="Calibri" w:cs="Calibri"/>
          <w:color w:val="0070C0"/>
        </w:rPr>
        <w:t xml:space="preserve"> </w:t>
      </w:r>
      <w:r w:rsidR="00BC3C5F">
        <w:rPr>
          <w:rFonts w:ascii="Calibri" w:hAnsi="Calibri" w:cs="Calibri"/>
          <w:color w:val="0070C0"/>
        </w:rPr>
        <w:t xml:space="preserve">measles vaccines </w:t>
      </w:r>
      <w:r w:rsidR="00396A8A">
        <w:rPr>
          <w:rFonts w:ascii="Calibri" w:hAnsi="Calibri" w:cs="Calibri"/>
          <w:color w:val="0070C0"/>
        </w:rPr>
        <w:t>(</w:t>
      </w:r>
      <w:r w:rsidR="001D0270">
        <w:rPr>
          <w:rFonts w:ascii="Calibri" w:hAnsi="Calibri" w:cs="Calibri"/>
          <w:color w:val="0070C0"/>
          <w:u w:val="single"/>
        </w:rPr>
        <w:t>84% for</w:t>
      </w:r>
      <w:r w:rsidR="00396A8A">
        <w:rPr>
          <w:rFonts w:ascii="Calibri" w:hAnsi="Calibri" w:cs="Calibri"/>
          <w:color w:val="0070C0"/>
        </w:rPr>
        <w:t xml:space="preserve"> </w:t>
      </w:r>
      <m:oMath>
        <m:r>
          <w:rPr>
            <w:rFonts w:ascii="Cambria Math" w:hAnsi="Cambria Math" w:cs="Calibri"/>
            <w:color w:val="0070C0"/>
          </w:rPr>
          <m:t>V</m:t>
        </m:r>
        <m:sSub>
          <m:sSubPr>
            <m:ctrlPr>
              <w:rPr>
                <w:rFonts w:ascii="Cambria Math" w:hAnsi="Cambria Math" w:cs="Calibri"/>
                <w:color w:val="0070C0"/>
              </w:rPr>
            </m:ctrlPr>
          </m:sSubPr>
          <m:e>
            <m:r>
              <w:rPr>
                <w:rFonts w:ascii="Cambria Math" w:hAnsi="Cambria Math" w:cs="Calibri"/>
                <w:color w:val="0070C0"/>
              </w:rPr>
              <m:t>E</m:t>
            </m:r>
          </m:e>
          <m:sub>
            <m:r>
              <w:rPr>
                <w:rFonts w:ascii="Cambria Math" w:hAnsi="Cambria Math" w:cs="Calibri"/>
                <w:color w:val="0070C0"/>
              </w:rPr>
              <m:t>1</m:t>
            </m:r>
          </m:sub>
        </m:sSub>
      </m:oMath>
      <w:r w:rsidR="00396A8A" w:rsidRPr="00A825F3">
        <w:rPr>
          <w:rFonts w:ascii="Calibri" w:hAnsi="Calibri" w:cs="Calibri"/>
          <w:color w:val="0070C0"/>
        </w:rPr>
        <w:t xml:space="preserve"> and</w:t>
      </w:r>
      <w:r w:rsidR="001D0270">
        <w:rPr>
          <w:rFonts w:ascii="Calibri" w:hAnsi="Calibri" w:cs="Calibri"/>
          <w:color w:val="0070C0"/>
        </w:rPr>
        <w:t xml:space="preserve"> 95% for</w:t>
      </w:r>
      <w:r w:rsidR="00396A8A" w:rsidRPr="00A825F3">
        <w:rPr>
          <w:rFonts w:ascii="Calibri" w:hAnsi="Calibri" w:cs="Calibri"/>
          <w:color w:val="0070C0"/>
        </w:rPr>
        <w:t xml:space="preserve"> </w:t>
      </w:r>
      <m:oMath>
        <m:r>
          <w:rPr>
            <w:rFonts w:ascii="Cambria Math" w:hAnsi="Cambria Math" w:cs="Calibri"/>
            <w:color w:val="0070C0"/>
          </w:rPr>
          <m:t>V</m:t>
        </m:r>
        <m:sSub>
          <m:sSubPr>
            <m:ctrlPr>
              <w:rPr>
                <w:rFonts w:ascii="Cambria Math" w:hAnsi="Cambria Math" w:cs="Calibri"/>
                <w:color w:val="0070C0"/>
              </w:rPr>
            </m:ctrlPr>
          </m:sSubPr>
          <m:e>
            <m:r>
              <w:rPr>
                <w:rFonts w:ascii="Cambria Math" w:hAnsi="Cambria Math" w:cs="Calibri"/>
                <w:color w:val="0070C0"/>
              </w:rPr>
              <m:t>E</m:t>
            </m:r>
          </m:e>
          <m:sub>
            <m:r>
              <w:rPr>
                <w:rFonts w:ascii="Cambria Math" w:hAnsi="Cambria Math" w:cs="Calibri"/>
                <w:color w:val="0070C0"/>
              </w:rPr>
              <m:t>2</m:t>
            </m:r>
          </m:sub>
        </m:sSub>
      </m:oMath>
      <w:r w:rsidR="00396A8A">
        <w:rPr>
          <w:rFonts w:ascii="Calibri" w:hAnsi="Calibri" w:cs="Calibri"/>
          <w:color w:val="0070C0"/>
        </w:rPr>
        <w:t>) [8]</w:t>
      </w:r>
      <w:r w:rsidR="004D2A4D" w:rsidRPr="00EF1C1A">
        <w:t>.</w:t>
      </w:r>
      <w:r w:rsidR="005C33ED" w:rsidRPr="00651083">
        <w:rPr>
          <w:color w:val="0070C0"/>
        </w:rPr>
        <w:t xml:space="preserve"> </w:t>
      </w:r>
    </w:p>
    <w:p w14:paraId="64E9B97E" w14:textId="77777777" w:rsidR="00EB2813" w:rsidRPr="00EF1C1A" w:rsidRDefault="00496271" w:rsidP="00275A69">
      <w:pPr>
        <w:pStyle w:val="Heading2"/>
      </w:pPr>
      <w:bookmarkStart w:id="10" w:name="catch-up-or-supplementary-vaccination-pr"/>
      <w:bookmarkStart w:id="11" w:name="_Toc128398376"/>
      <w:bookmarkEnd w:id="10"/>
      <w:r w:rsidRPr="00EF1C1A">
        <w:lastRenderedPageBreak/>
        <w:t>2.2 Catch-up or supplementary vaccination programs</w:t>
      </w:r>
      <w:bookmarkEnd w:id="11"/>
    </w:p>
    <w:p w14:paraId="757E097C" w14:textId="77777777" w:rsidR="00EB2813" w:rsidRPr="00EF1C1A" w:rsidRDefault="00496271">
      <w:r w:rsidRPr="00EF1C1A">
        <w:t xml:space="preserve">In Equation (1) of the main text, </w:t>
      </w:r>
      <m:oMath>
        <m:sSubSup>
          <m:sSubSupPr>
            <m:ctrlPr>
              <w:rPr>
                <w:rFonts w:ascii="Cambria Math" w:hAnsi="Cambria Math"/>
              </w:rPr>
            </m:ctrlPr>
          </m:sSubSupPr>
          <m:e>
            <m:r>
              <w:rPr>
                <w:rFonts w:ascii="Cambria Math" w:hAnsi="Cambria Math"/>
              </w:rPr>
              <m:t>v</m:t>
            </m:r>
          </m:e>
          <m:sub>
            <m:r>
              <w:rPr>
                <w:rFonts w:ascii="Cambria Math" w:hAnsi="Cambria Math"/>
              </w:rPr>
              <m:t>i</m:t>
            </m:r>
          </m:sub>
          <m:sup>
            <m:r>
              <w:rPr>
                <w:rFonts w:ascii="Cambria Math" w:hAnsi="Cambria Math"/>
              </w:rPr>
              <m:t>c</m:t>
            </m:r>
          </m:sup>
        </m:sSubSup>
        <m:r>
          <w:rPr>
            <w:rFonts w:ascii="Cambria Math" w:hAnsi="Cambria Math"/>
          </w:rPr>
          <m:t>(t)</m:t>
        </m:r>
      </m:oMath>
      <w:r w:rsidRPr="00EF1C1A">
        <w:t xml:space="preserve"> represents the rate (persons per day) at which the various catch-up or supplementary vaccination programs confer immunity to population included in the catch-up vaccination programs.</w:t>
      </w:r>
    </w:p>
    <w:p w14:paraId="7F3EDDC4" w14:textId="77777777" w:rsidR="00EB2813" w:rsidRPr="00EF1C1A" w:rsidRDefault="00496271">
      <w:pPr>
        <w:pStyle w:val="Heading3"/>
      </w:pPr>
      <w:bookmarkStart w:id="12" w:name="catch-up-vaccination-program-for-pre-sch"/>
      <w:bookmarkStart w:id="13" w:name="_Toc128398377"/>
      <w:bookmarkEnd w:id="12"/>
      <w:r w:rsidRPr="00EF1C1A">
        <w:t>2.2.1 Catch-up vaccination program for pre-school children of migrant workers</w:t>
      </w:r>
      <w:bookmarkEnd w:id="13"/>
    </w:p>
    <w:p w14:paraId="29CEB4FF" w14:textId="7B6DBA9F" w:rsidR="00EB2813" w:rsidRPr="00EF1C1A" w:rsidRDefault="00496271">
      <w:r w:rsidRPr="00EF1C1A">
        <w:t>From 2000 onwards, a catch-up vaccination program was conducted for the pre-school children (&lt;7 years; Group 2) of migrant workers [</w:t>
      </w:r>
      <w:r w:rsidR="00A23D37">
        <w:t>9</w:t>
      </w:r>
      <w:r w:rsidRPr="00EF1C1A">
        <w:t>]. The program was conducted from March to May each year, and targeted those without a measles vaccination record. The numbers of vaccinees during 2005-2010 were obtained from the literature [</w:t>
      </w:r>
      <w:r w:rsidR="002C2913">
        <w:t>9</w:t>
      </w:r>
      <w:r w:rsidRPr="00EF1C1A">
        <w:t xml:space="preserve">]. We calculated </w:t>
      </w:r>
      <m:oMath>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c</m:t>
            </m:r>
          </m:sup>
        </m:sSubSup>
        <m:r>
          <w:rPr>
            <w:rFonts w:ascii="Cambria Math" w:hAnsi="Cambria Math"/>
          </w:rPr>
          <m:t>(t)</m:t>
        </m:r>
      </m:oMath>
      <w:r w:rsidRPr="00EF1C1A">
        <w:t xml:space="preserve"> for the program period by assuming that (</w:t>
      </w:r>
      <w:proofErr w:type="spellStart"/>
      <w:r w:rsidRPr="00EF1C1A">
        <w:t>i</w:t>
      </w:r>
      <w:proofErr w:type="spellEnd"/>
      <w:r w:rsidRPr="00EF1C1A">
        <w:t>) the vaccine</w:t>
      </w:r>
      <w:r w:rsidR="001F64EE" w:rsidRPr="00EF1C1A">
        <w:t>e</w:t>
      </w:r>
      <w:r w:rsidRPr="00EF1C1A">
        <w:t>s were equally distributed across the days and (ii) the single dose was 90% effective. Of note, for years when vaccination data were unavailable (i.e., 2000-2004 &amp; from 2011 onwards), we assumed that the number of vaccinees scaled with the number of migrants coming to Beijing.</w:t>
      </w:r>
    </w:p>
    <w:p w14:paraId="7A0259CC" w14:textId="77777777" w:rsidR="00EB2813" w:rsidRPr="00EF1C1A" w:rsidRDefault="00496271">
      <w:pPr>
        <w:pStyle w:val="Heading3"/>
      </w:pPr>
      <w:bookmarkStart w:id="14" w:name="catch-up-vaccination-program-for-migrant"/>
      <w:bookmarkStart w:id="15" w:name="_Toc128398378"/>
      <w:bookmarkEnd w:id="14"/>
      <w:r w:rsidRPr="00EF1C1A">
        <w:t>2.2.2 Catch-up vaccination program for migrant workers</w:t>
      </w:r>
      <w:bookmarkEnd w:id="15"/>
    </w:p>
    <w:p w14:paraId="473BEC08" w14:textId="12B837F6" w:rsidR="00EB2813" w:rsidRPr="00EF1C1A" w:rsidRDefault="00496271">
      <w:r w:rsidRPr="00EF1C1A">
        <w:t>From 2005 onwards, a catch-up vaccination program was conducted for migrant workers (most of them aged 15-50; Group 3) [</w:t>
      </w:r>
      <w:r w:rsidR="002C2913">
        <w:t>9</w:t>
      </w:r>
      <w:r w:rsidRPr="00EF1C1A">
        <w:t>]. The program was also conducted from March to May and migrants were vaccinated regardless of their vaccination history. The numbers of vaccinees during 2005-2010 were also obtained from the literature [</w:t>
      </w:r>
      <w:r w:rsidR="002C2913">
        <w:t>9</w:t>
      </w:r>
      <w:r w:rsidRPr="00EF1C1A">
        <w:t xml:space="preserve">]. We calculated </w:t>
      </w:r>
      <m:oMath>
        <m:sSubSup>
          <m:sSubSupPr>
            <m:ctrlPr>
              <w:rPr>
                <w:rFonts w:ascii="Cambria Math" w:hAnsi="Cambria Math"/>
              </w:rPr>
            </m:ctrlPr>
          </m:sSubSupPr>
          <m:e>
            <m:r>
              <w:rPr>
                <w:rFonts w:ascii="Cambria Math" w:hAnsi="Cambria Math"/>
              </w:rPr>
              <m:t>v</m:t>
            </m:r>
          </m:e>
          <m:sub>
            <m:r>
              <w:rPr>
                <w:rFonts w:ascii="Cambria Math" w:hAnsi="Cambria Math"/>
              </w:rPr>
              <m:t>3</m:t>
            </m:r>
          </m:sub>
          <m:sup>
            <m:r>
              <w:rPr>
                <w:rFonts w:ascii="Cambria Math" w:hAnsi="Cambria Math"/>
              </w:rPr>
              <m:t>c</m:t>
            </m:r>
          </m:sup>
        </m:sSubSup>
        <m:r>
          <w:rPr>
            <w:rFonts w:ascii="Cambria Math" w:hAnsi="Cambria Math"/>
          </w:rPr>
          <m:t>(t)</m:t>
        </m:r>
      </m:oMath>
      <w:r w:rsidRPr="00EF1C1A">
        <w:t xml:space="preserve"> for the program period by assuming that (</w:t>
      </w:r>
      <w:proofErr w:type="spellStart"/>
      <w:r w:rsidRPr="00EF1C1A">
        <w:t>i</w:t>
      </w:r>
      <w:proofErr w:type="spellEnd"/>
      <w:r w:rsidRPr="00EF1C1A">
        <w:t>) vaccine</w:t>
      </w:r>
      <w:r w:rsidR="001F64EE" w:rsidRPr="00EF1C1A">
        <w:t>e</w:t>
      </w:r>
      <w:r w:rsidRPr="00EF1C1A">
        <w:t>s were equally distributed across the days, (ii) only those susceptible prior to the catch-up vaccination were immunized, (iii) the vaccinees had the same susceptibility levels as the migrants coming to Beijing, and (iv) the single dose was 90% effective. For years (from 2011 onwards) when catch-up vaccination data were unavailable, we assumed that the number of vaccinees scaled with the number of migrants coming to Beijing.</w:t>
      </w:r>
    </w:p>
    <w:p w14:paraId="60DAD1BC" w14:textId="77777777" w:rsidR="00EB2813" w:rsidRPr="00EF1C1A" w:rsidRDefault="00496271">
      <w:pPr>
        <w:pStyle w:val="Heading3"/>
      </w:pPr>
      <w:bookmarkStart w:id="16" w:name="the-2010-synchronized-nationwide-supplem"/>
      <w:bookmarkStart w:id="17" w:name="_Toc128398379"/>
      <w:bookmarkEnd w:id="16"/>
      <w:r w:rsidRPr="00EF1C1A">
        <w:t>2.2.3 The 2010 synchronized nationwide supplementary immunization activity (SIA)</w:t>
      </w:r>
      <w:bookmarkEnd w:id="17"/>
    </w:p>
    <w:p w14:paraId="45AD098A" w14:textId="17F85EAE" w:rsidR="00EB2813" w:rsidRPr="00EF1C1A" w:rsidRDefault="00496271">
      <w:r w:rsidRPr="00EF1C1A">
        <w:t>To support the goal of measles elimination by 2012, from September 11th to 20th in 2010, a synchronized SIA for measles was conducted nationwide, including in Beijing [</w:t>
      </w:r>
      <w:r w:rsidR="002C2913">
        <w:t>9</w:t>
      </w:r>
      <w:r w:rsidRPr="00EF1C1A">
        <w:t>,</w:t>
      </w:r>
      <w:r w:rsidR="002C2913">
        <w:t>10</w:t>
      </w:r>
      <w:r w:rsidRPr="00EF1C1A">
        <w:t>]. This SIA targeted the general population aged 8 months to 14 years regardless of vaccination history. In Beijing, 1624998 children received one dose of vaccine [</w:t>
      </w:r>
      <w:r w:rsidR="002C2913">
        <w:t>9</w:t>
      </w:r>
      <w:r w:rsidRPr="00EF1C1A">
        <w:t xml:space="preserve">]. Of the vaccinees, we assumed that </w:t>
      </w:r>
      <m:oMath>
        <m:f>
          <m:fPr>
            <m:ctrlPr>
              <w:rPr>
                <w:rFonts w:ascii="Cambria Math" w:hAnsi="Cambria Math"/>
              </w:rPr>
            </m:ctrlPr>
          </m:fPr>
          <m:num>
            <m:r>
              <w:rPr>
                <w:rFonts w:ascii="Cambria Math" w:hAnsi="Cambria Math"/>
              </w:rPr>
              <m:t>(1-</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num>
          <m:den>
            <m:r>
              <w:rPr>
                <w:rFonts w:ascii="Cambria Math" w:hAnsi="Cambria Math"/>
              </w:rPr>
              <m:t>(14-</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den>
        </m:f>
      </m:oMath>
      <w:r w:rsidRPr="00EF1C1A">
        <w:t xml:space="preserve"> and </w:t>
      </w:r>
      <m:oMath>
        <m:f>
          <m:fPr>
            <m:ctrlPr>
              <w:rPr>
                <w:rFonts w:ascii="Cambria Math" w:hAnsi="Cambria Math"/>
              </w:rPr>
            </m:ctrlPr>
          </m:fPr>
          <m:num>
            <m:r>
              <w:rPr>
                <w:rFonts w:ascii="Cambria Math" w:hAnsi="Cambria Math"/>
              </w:rPr>
              <m:t>(14-1)</m:t>
            </m:r>
          </m:num>
          <m:den>
            <m:r>
              <w:rPr>
                <w:rFonts w:ascii="Cambria Math" w:hAnsi="Cambria Math"/>
              </w:rPr>
              <m:t>(14-</m:t>
            </m:r>
            <m:f>
              <m:fPr>
                <m:ctrlPr>
                  <w:rPr>
                    <w:rFonts w:ascii="Cambria Math" w:hAnsi="Cambria Math"/>
                  </w:rPr>
                </m:ctrlPr>
              </m:fPr>
              <m:num>
                <m:r>
                  <w:rPr>
                    <w:rFonts w:ascii="Cambria Math" w:hAnsi="Cambria Math"/>
                  </w:rPr>
                  <m:t>2</m:t>
                </m:r>
              </m:num>
              <m:den>
                <m:r>
                  <w:rPr>
                    <w:rFonts w:ascii="Cambria Math" w:hAnsi="Cambria Math"/>
                  </w:rPr>
                  <m:t>3</m:t>
                </m:r>
              </m:den>
            </m:f>
            <m:r>
              <w:rPr>
                <w:rFonts w:ascii="Cambria Math" w:hAnsi="Cambria Math"/>
              </w:rPr>
              <m:t>)</m:t>
            </m:r>
          </m:den>
        </m:f>
      </m:oMath>
      <w:r w:rsidRPr="00EF1C1A">
        <w:t xml:space="preserve"> were in the age range of 8-12 months (part of Group 1) and 1-14 years (Group 2), respectively. We then calculated </w:t>
      </w:r>
      <m:oMath>
        <m:sSubSup>
          <m:sSubSupPr>
            <m:ctrlPr>
              <w:rPr>
                <w:rFonts w:ascii="Cambria Math" w:hAnsi="Cambria Math"/>
              </w:rPr>
            </m:ctrlPr>
          </m:sSubSupPr>
          <m:e>
            <m:r>
              <w:rPr>
                <w:rFonts w:ascii="Cambria Math" w:hAnsi="Cambria Math"/>
              </w:rPr>
              <m:t>v</m:t>
            </m:r>
          </m:e>
          <m:sub>
            <m:r>
              <w:rPr>
                <w:rFonts w:ascii="Cambria Math" w:hAnsi="Cambria Math"/>
              </w:rPr>
              <m:t>1</m:t>
            </m:r>
          </m:sub>
          <m:sup>
            <m:r>
              <w:rPr>
                <w:rFonts w:ascii="Cambria Math" w:hAnsi="Cambria Math"/>
              </w:rPr>
              <m:t>c</m:t>
            </m:r>
          </m:sup>
        </m:sSubSup>
        <m:r>
          <w:rPr>
            <w:rFonts w:ascii="Cambria Math" w:hAnsi="Cambria Math"/>
          </w:rPr>
          <m:t>(t)</m:t>
        </m:r>
      </m:oMath>
      <w:r w:rsidRPr="00EF1C1A">
        <w:t xml:space="preserve"> and </w:t>
      </w:r>
      <m:oMath>
        <m:sSubSup>
          <m:sSubSupPr>
            <m:ctrlPr>
              <w:rPr>
                <w:rFonts w:ascii="Cambria Math" w:hAnsi="Cambria Math"/>
              </w:rPr>
            </m:ctrlPr>
          </m:sSubSupPr>
          <m:e>
            <m:r>
              <w:rPr>
                <w:rFonts w:ascii="Cambria Math" w:hAnsi="Cambria Math"/>
              </w:rPr>
              <m:t>v</m:t>
            </m:r>
          </m:e>
          <m:sub>
            <m:r>
              <w:rPr>
                <w:rFonts w:ascii="Cambria Math" w:hAnsi="Cambria Math"/>
              </w:rPr>
              <m:t>2</m:t>
            </m:r>
          </m:sub>
          <m:sup>
            <m:r>
              <w:rPr>
                <w:rFonts w:ascii="Cambria Math" w:hAnsi="Cambria Math"/>
              </w:rPr>
              <m:t>c</m:t>
            </m:r>
          </m:sup>
        </m:sSubSup>
        <m:r>
          <w:rPr>
            <w:rFonts w:ascii="Cambria Math" w:hAnsi="Cambria Math"/>
          </w:rPr>
          <m:t>(t)</m:t>
        </m:r>
      </m:oMath>
      <w:r w:rsidRPr="00EF1C1A">
        <w:t xml:space="preserve"> by assuming that (i) the 1624998 doses were equally distributed across those 10 days, (ii) only those susceptible prior to the SIA were immunized, (iii) vaccinee susceptibility levels </w:t>
      </w:r>
      <w:proofErr w:type="spellStart"/>
      <w:r w:rsidRPr="00EF1C1A">
        <w:t>equaled</w:t>
      </w:r>
      <w:proofErr w:type="spellEnd"/>
      <w:r w:rsidRPr="00EF1C1A">
        <w:t xml:space="preserve"> the model-estimated susceptibility levels for the age groups, and (iv) the single dose was 90% effective.</w:t>
      </w:r>
    </w:p>
    <w:p w14:paraId="13AF6105" w14:textId="114D5536" w:rsidR="00D87D62" w:rsidRDefault="00D87D62" w:rsidP="001A09F5">
      <w:pPr>
        <w:pStyle w:val="Heading1"/>
        <w:rPr>
          <w:lang w:val="en-HK"/>
        </w:rPr>
      </w:pPr>
      <w:bookmarkStart w:id="18" w:name="sinusoidal-seasonal-forcing"/>
      <w:bookmarkStart w:id="19" w:name="_Toc128398380"/>
      <w:bookmarkEnd w:id="18"/>
      <w:r>
        <w:rPr>
          <w:lang w:val="en-HK"/>
        </w:rPr>
        <w:lastRenderedPageBreak/>
        <w:t>3 Prior</w:t>
      </w:r>
      <w:r w:rsidR="005163E3">
        <w:rPr>
          <w:lang w:val="en-HK"/>
        </w:rPr>
        <w:t>s</w:t>
      </w:r>
      <w:r>
        <w:rPr>
          <w:lang w:val="en-HK"/>
        </w:rPr>
        <w:t xml:space="preserve"> </w:t>
      </w:r>
      <w:r w:rsidR="00891FCA">
        <w:rPr>
          <w:lang w:val="en-HK"/>
        </w:rPr>
        <w:t xml:space="preserve">of </w:t>
      </w:r>
      <w:r>
        <w:rPr>
          <w:lang w:val="en-HK"/>
        </w:rPr>
        <w:t>model state</w:t>
      </w:r>
      <w:bookmarkEnd w:id="19"/>
    </w:p>
    <w:p w14:paraId="4E6D1799" w14:textId="0BFD429F" w:rsidR="008D04B9" w:rsidRDefault="004F619A" w:rsidP="00347F1E">
      <w:pPr>
        <w:rPr>
          <w:lang w:val="en-HK"/>
        </w:rPr>
      </w:pPr>
      <w:r>
        <w:rPr>
          <w:lang w:val="en-HK"/>
        </w:rPr>
        <w:t xml:space="preserve">For each inference run, </w:t>
      </w:r>
      <w:r w:rsidR="0003011E">
        <w:rPr>
          <w:lang w:val="en-HK"/>
        </w:rPr>
        <w:t xml:space="preserve">we </w:t>
      </w:r>
      <w:r w:rsidR="00696AC8">
        <w:rPr>
          <w:lang w:val="en-HK"/>
        </w:rPr>
        <w:t>initialize</w:t>
      </w:r>
      <w:r w:rsidR="00FD406B">
        <w:rPr>
          <w:lang w:val="en-HK"/>
        </w:rPr>
        <w:t>d</w:t>
      </w:r>
      <w:r w:rsidR="00696AC8">
        <w:rPr>
          <w:lang w:val="en-HK"/>
        </w:rPr>
        <w:t xml:space="preserve"> the model state </w:t>
      </w:r>
      <w:r w:rsidR="00696AC8" w:rsidRPr="006201FF">
        <w:rPr>
          <w:lang w:val="en-HK"/>
        </w:rPr>
        <w:t>(referring to the state variables and parameters)</w:t>
      </w:r>
      <w:r w:rsidR="00696AC8">
        <w:rPr>
          <w:lang w:val="en-HK"/>
        </w:rPr>
        <w:t xml:space="preserve"> at the start of 1995 </w:t>
      </w:r>
      <w:r w:rsidR="00F83C9D">
        <w:rPr>
          <w:lang w:val="en-HK"/>
        </w:rPr>
        <w:t xml:space="preserve">using pre-specified priors. </w:t>
      </w:r>
      <w:r w:rsidR="00F43BF3">
        <w:rPr>
          <w:lang w:val="en-HK"/>
        </w:rPr>
        <w:t>W</w:t>
      </w:r>
      <w:r w:rsidR="00A81BC8">
        <w:rPr>
          <w:lang w:val="en-HK"/>
        </w:rPr>
        <w:t xml:space="preserve">e </w:t>
      </w:r>
      <w:r w:rsidR="003F6EB6">
        <w:rPr>
          <w:lang w:val="en-HK"/>
        </w:rPr>
        <w:t xml:space="preserve">used </w:t>
      </w:r>
      <w:r w:rsidR="007C4A54">
        <w:rPr>
          <w:lang w:val="en-HK"/>
        </w:rPr>
        <w:t xml:space="preserve">the estimated posterior distribution at the end of 1994 in our previous </w:t>
      </w:r>
      <w:r w:rsidR="00623BF2">
        <w:rPr>
          <w:lang w:val="en-HK"/>
        </w:rPr>
        <w:t>study</w:t>
      </w:r>
      <w:r w:rsidR="007C4A54">
        <w:rPr>
          <w:lang w:val="en-HK"/>
        </w:rPr>
        <w:t xml:space="preserve"> [1</w:t>
      </w:r>
      <w:r w:rsidR="002C2913">
        <w:rPr>
          <w:lang w:val="en-HK"/>
        </w:rPr>
        <w:t>1</w:t>
      </w:r>
      <w:r w:rsidR="007C4A54">
        <w:rPr>
          <w:lang w:val="en-HK"/>
        </w:rPr>
        <w:t>]</w:t>
      </w:r>
      <w:r w:rsidR="00FC18C2">
        <w:rPr>
          <w:lang w:val="en-HK"/>
        </w:rPr>
        <w:t xml:space="preserve"> to set the prior</w:t>
      </w:r>
      <w:r w:rsidR="005B3049">
        <w:rPr>
          <w:lang w:val="en-HK"/>
        </w:rPr>
        <w:t>s</w:t>
      </w:r>
      <w:r w:rsidR="00FC18C2">
        <w:rPr>
          <w:lang w:val="en-HK"/>
        </w:rPr>
        <w:t xml:space="preserve"> of the model state in the current analysis</w:t>
      </w:r>
      <w:r w:rsidR="006910BD">
        <w:rPr>
          <w:lang w:val="en-HK"/>
        </w:rPr>
        <w:t xml:space="preserve">, except for </w:t>
      </w:r>
      <m:oMath>
        <m:r>
          <w:rPr>
            <w:rFonts w:ascii="Cambria Math" w:hAnsi="Cambria Math"/>
            <w:lang w:val="en-HK"/>
          </w:rPr>
          <m:t>ϕ</m:t>
        </m:r>
      </m:oMath>
      <w:r w:rsidR="006910BD">
        <w:rPr>
          <w:lang w:val="en-HK"/>
        </w:rPr>
        <w:t xml:space="preserve"> and </w:t>
      </w:r>
      <m:oMath>
        <m:sSub>
          <m:sSubPr>
            <m:ctrlPr>
              <w:rPr>
                <w:rFonts w:ascii="Cambria Math" w:hAnsi="Cambria Math"/>
                <w:i/>
                <w:lang w:val="en-HK"/>
              </w:rPr>
            </m:ctrlPr>
          </m:sSubPr>
          <m:e>
            <m:r>
              <w:rPr>
                <w:rFonts w:ascii="Cambria Math" w:hAnsi="Cambria Math"/>
                <w:lang w:val="en-HK"/>
              </w:rPr>
              <m:t>β</m:t>
            </m:r>
          </m:e>
          <m:sub>
            <m:r>
              <w:rPr>
                <w:rFonts w:ascii="Cambria Math" w:hAnsi="Cambria Math"/>
                <w:lang w:val="en-HK"/>
              </w:rPr>
              <m:t>2</m:t>
            </m:r>
          </m:sub>
        </m:sSub>
      </m:oMath>
      <w:r w:rsidR="006910BD">
        <w:rPr>
          <w:lang w:val="en-HK"/>
        </w:rPr>
        <w:t xml:space="preserve"> to </w:t>
      </w:r>
      <m:oMath>
        <m:sSub>
          <m:sSubPr>
            <m:ctrlPr>
              <w:rPr>
                <w:rFonts w:ascii="Cambria Math" w:hAnsi="Cambria Math"/>
                <w:i/>
                <w:lang w:val="en-HK"/>
              </w:rPr>
            </m:ctrlPr>
          </m:sSubPr>
          <m:e>
            <m:r>
              <w:rPr>
                <w:rFonts w:ascii="Cambria Math" w:hAnsi="Cambria Math"/>
                <w:lang w:val="en-HK"/>
              </w:rPr>
              <m:t>β</m:t>
            </m:r>
          </m:e>
          <m:sub>
            <m:r>
              <w:rPr>
                <w:rFonts w:ascii="Cambria Math" w:hAnsi="Cambria Math"/>
                <w:lang w:val="en-HK"/>
              </w:rPr>
              <m:t>6</m:t>
            </m:r>
          </m:sub>
        </m:sSub>
      </m:oMath>
      <w:r w:rsidR="007C4A54">
        <w:rPr>
          <w:lang w:val="en-HK"/>
        </w:rPr>
        <w:t xml:space="preserve">. </w:t>
      </w:r>
    </w:p>
    <w:p w14:paraId="37C72E76" w14:textId="0425FC47" w:rsidR="008D04B9" w:rsidRDefault="001130FF" w:rsidP="00347F1E">
      <w:pPr>
        <w:rPr>
          <w:lang w:val="en-HK"/>
        </w:rPr>
      </w:pPr>
      <m:oMath>
        <m:r>
          <w:rPr>
            <w:rFonts w:ascii="Cambria Math" w:hAnsi="Cambria Math"/>
            <w:lang w:val="en-HK"/>
          </w:rPr>
          <m:t>ϕ</m:t>
        </m:r>
      </m:oMath>
      <w:r>
        <w:rPr>
          <w:lang w:val="en-HK"/>
        </w:rPr>
        <w:t xml:space="preserve"> </w:t>
      </w:r>
      <w:r w:rsidR="00347F1E">
        <w:rPr>
          <w:lang w:val="en-HK"/>
        </w:rPr>
        <w:t xml:space="preserve">represents the day of a year when the sinusoidal forcing reached the maximum amplitude, and </w:t>
      </w:r>
      <w:r>
        <w:rPr>
          <w:lang w:val="en-HK"/>
        </w:rPr>
        <w:t xml:space="preserve">was fixed at 23 days in </w:t>
      </w:r>
      <w:r w:rsidR="00E07677">
        <w:rPr>
          <w:lang w:val="en-HK"/>
        </w:rPr>
        <w:t>our</w:t>
      </w:r>
      <w:r>
        <w:rPr>
          <w:lang w:val="en-HK"/>
        </w:rPr>
        <w:t xml:space="preserve"> previous study</w:t>
      </w:r>
      <w:r w:rsidR="000E15BF">
        <w:rPr>
          <w:lang w:val="en-HK"/>
        </w:rPr>
        <w:t xml:space="preserve"> [1</w:t>
      </w:r>
      <w:r w:rsidR="002C2913">
        <w:rPr>
          <w:lang w:val="en-HK"/>
        </w:rPr>
        <w:t>1</w:t>
      </w:r>
      <w:r w:rsidR="000E15BF">
        <w:rPr>
          <w:lang w:val="en-HK"/>
        </w:rPr>
        <w:t>].</w:t>
      </w:r>
      <w:r>
        <w:rPr>
          <w:lang w:val="en-HK"/>
        </w:rPr>
        <w:t xml:space="preserve"> </w:t>
      </w:r>
      <w:r w:rsidR="002A3F80">
        <w:rPr>
          <w:lang w:val="en-HK"/>
        </w:rPr>
        <w:t>Here, w</w:t>
      </w:r>
      <w:r>
        <w:rPr>
          <w:lang w:val="en-HK"/>
        </w:rPr>
        <w:t xml:space="preserve">e </w:t>
      </w:r>
      <w:r w:rsidR="00EB269B">
        <w:rPr>
          <w:lang w:val="en-HK"/>
        </w:rPr>
        <w:t>set</w:t>
      </w:r>
      <w:r>
        <w:rPr>
          <w:lang w:val="en-HK"/>
        </w:rPr>
        <w:t xml:space="preserve"> </w:t>
      </w:r>
      <w:r w:rsidR="0011711E">
        <w:rPr>
          <w:lang w:val="en-HK"/>
        </w:rPr>
        <w:t xml:space="preserve">the </w:t>
      </w:r>
      <w:r>
        <w:rPr>
          <w:lang w:val="en-HK"/>
        </w:rPr>
        <w:t xml:space="preserve">prior </w:t>
      </w:r>
      <w:r w:rsidR="0011711E">
        <w:rPr>
          <w:lang w:val="en-HK"/>
        </w:rPr>
        <w:t xml:space="preserve">of </w:t>
      </w:r>
      <m:oMath>
        <m:r>
          <w:rPr>
            <w:rFonts w:ascii="Cambria Math" w:hAnsi="Cambria Math"/>
            <w:lang w:val="en-HK"/>
          </w:rPr>
          <m:t>ϕ</m:t>
        </m:r>
      </m:oMath>
      <w:r w:rsidR="0011711E">
        <w:rPr>
          <w:lang w:val="en-HK"/>
        </w:rPr>
        <w:t xml:space="preserve"> to be</w:t>
      </w:r>
      <w:r w:rsidR="00EB269B">
        <w:rPr>
          <w:lang w:val="en-HK"/>
        </w:rPr>
        <w:t xml:space="preserve"> </w:t>
      </w:r>
      <w:r>
        <w:rPr>
          <w:lang w:val="en-HK"/>
        </w:rPr>
        <w:t>a uniform distribution between 3 and 43</w:t>
      </w:r>
      <w:r w:rsidR="009914DE">
        <w:rPr>
          <w:lang w:val="en-HK"/>
        </w:rPr>
        <w:t xml:space="preserve"> days</w:t>
      </w:r>
      <w:r>
        <w:rPr>
          <w:lang w:val="en-HK"/>
        </w:rPr>
        <w:t xml:space="preserve">, considering that measles outbreaks typically start in early spring. </w:t>
      </w:r>
    </w:p>
    <w:p w14:paraId="7C0F0EBF" w14:textId="39608AFE" w:rsidR="00D87D62" w:rsidRDefault="001130FF" w:rsidP="00347F1E">
      <w:r>
        <w:rPr>
          <w:lang w:val="en-HK"/>
        </w:rPr>
        <w:t xml:space="preserve">For </w:t>
      </w:r>
      <m:oMath>
        <m:sSub>
          <m:sSubPr>
            <m:ctrlPr>
              <w:rPr>
                <w:rFonts w:ascii="Cambria Math" w:hAnsi="Cambria Math"/>
                <w:i/>
                <w:lang w:val="en-HK"/>
              </w:rPr>
            </m:ctrlPr>
          </m:sSubPr>
          <m:e>
            <m:r>
              <w:rPr>
                <w:rFonts w:ascii="Cambria Math" w:hAnsi="Cambria Math"/>
                <w:lang w:val="en-HK"/>
              </w:rPr>
              <m:t>β</m:t>
            </m:r>
          </m:e>
          <m:sub>
            <m:r>
              <w:rPr>
                <w:rFonts w:ascii="Cambria Math" w:hAnsi="Cambria Math"/>
                <w:lang w:val="en-HK"/>
              </w:rPr>
              <m:t>2</m:t>
            </m:r>
          </m:sub>
        </m:sSub>
      </m:oMath>
      <w:r>
        <w:rPr>
          <w:lang w:val="en-HK"/>
        </w:rPr>
        <w:t xml:space="preserve"> to </w:t>
      </w:r>
      <m:oMath>
        <m:sSub>
          <m:sSubPr>
            <m:ctrlPr>
              <w:rPr>
                <w:rFonts w:ascii="Cambria Math" w:hAnsi="Cambria Math"/>
                <w:i/>
                <w:lang w:val="en-HK"/>
              </w:rPr>
            </m:ctrlPr>
          </m:sSubPr>
          <m:e>
            <m:r>
              <w:rPr>
                <w:rFonts w:ascii="Cambria Math" w:hAnsi="Cambria Math"/>
                <w:lang w:val="en-HK"/>
              </w:rPr>
              <m:t>β</m:t>
            </m:r>
          </m:e>
          <m:sub>
            <m:r>
              <w:rPr>
                <w:rFonts w:ascii="Cambria Math" w:hAnsi="Cambria Math"/>
                <w:lang w:val="en-HK"/>
              </w:rPr>
              <m:t>6</m:t>
            </m:r>
          </m:sub>
        </m:sSub>
      </m:oMath>
      <w:r>
        <w:rPr>
          <w:lang w:val="en-HK"/>
        </w:rPr>
        <w:t>, which govern the mixing among age groups,</w:t>
      </w:r>
      <w:r w:rsidR="007F78D0">
        <w:rPr>
          <w:lang w:val="en-HK"/>
        </w:rPr>
        <w:t xml:space="preserve"> we set </w:t>
      </w:r>
      <w:r>
        <w:rPr>
          <w:lang w:val="en-HK"/>
        </w:rPr>
        <w:t>the priors based on a contact matrix provided by Mistry et al. for Beijing</w:t>
      </w:r>
      <w:r w:rsidR="00E5674B">
        <w:rPr>
          <w:lang w:val="en-HK"/>
        </w:rPr>
        <w:t xml:space="preserve"> [</w:t>
      </w:r>
      <w:r w:rsidR="00D43E27">
        <w:rPr>
          <w:lang w:val="en-HK"/>
        </w:rPr>
        <w:t>1</w:t>
      </w:r>
      <w:r w:rsidR="002C2913">
        <w:rPr>
          <w:lang w:val="en-HK"/>
        </w:rPr>
        <w:t>2</w:t>
      </w:r>
      <w:r w:rsidR="00E5674B">
        <w:rPr>
          <w:lang w:val="en-HK"/>
        </w:rPr>
        <w:t>]</w:t>
      </w:r>
      <w:r w:rsidR="007B03E7">
        <w:rPr>
          <w:lang w:val="en-HK"/>
        </w:rPr>
        <w:t xml:space="preserve"> (see Fig S1</w:t>
      </w:r>
      <w:r w:rsidR="0052378D">
        <w:rPr>
          <w:lang w:val="en-HK"/>
        </w:rPr>
        <w:t>3</w:t>
      </w:r>
      <w:r w:rsidR="007B03E7">
        <w:rPr>
          <w:lang w:val="en-HK"/>
        </w:rPr>
        <w:t xml:space="preserve"> for details)</w:t>
      </w:r>
      <w:r w:rsidR="00E5674B">
        <w:rPr>
          <w:lang w:val="en-HK"/>
        </w:rPr>
        <w:t xml:space="preserve">. </w:t>
      </w:r>
      <w:r w:rsidR="000F2CFF">
        <w:rPr>
          <w:lang w:val="en-HK"/>
        </w:rPr>
        <w:t xml:space="preserve">We show the specific priors used in Table S1. Here, </w:t>
      </w:r>
      <w:r w:rsidR="000F2CFF">
        <w:t>w</w:t>
      </w:r>
      <w:r w:rsidR="00682D62">
        <w:t xml:space="preserve">e allowed for wide prior ranges, particularly for </w:t>
      </w:r>
      <m:oMath>
        <m:sSub>
          <m:sSubPr>
            <m:ctrlPr>
              <w:rPr>
                <w:rFonts w:ascii="Cambria Math" w:hAnsi="Cambria Math"/>
                <w:i/>
              </w:rPr>
            </m:ctrlPr>
          </m:sSubPr>
          <m:e>
            <m:r>
              <w:rPr>
                <w:rFonts w:ascii="Cambria Math" w:hAnsi="Cambria Math"/>
              </w:rPr>
              <m:t>β</m:t>
            </m:r>
          </m:e>
          <m:sub>
            <m:r>
              <w:rPr>
                <w:rFonts w:ascii="Cambria Math" w:hAnsi="Cambria Math"/>
              </w:rPr>
              <m:t>2</m:t>
            </m:r>
          </m:sub>
        </m:sSub>
      </m:oMath>
      <w:r w:rsidR="00682D62">
        <w:t xml:space="preserve"> and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rsidR="00682D62">
        <w:t xml:space="preserve"> to account for strong mixing </w:t>
      </w:r>
      <w:r w:rsidR="003055AC">
        <w:t>among</w:t>
      </w:r>
      <w:r w:rsidR="00682D62">
        <w:t xml:space="preserve"> school children and </w:t>
      </w:r>
      <w:r w:rsidR="003055AC">
        <w:t xml:space="preserve">among </w:t>
      </w:r>
      <w:r w:rsidR="00682D62">
        <w:t>migrant workers.</w:t>
      </w:r>
    </w:p>
    <w:p w14:paraId="47F6E449" w14:textId="5DCEE317" w:rsidR="00EB2813" w:rsidRPr="00EF1C1A" w:rsidRDefault="00496271">
      <w:pPr>
        <w:pStyle w:val="Heading1"/>
      </w:pPr>
      <w:bookmarkStart w:id="20" w:name="hypotheses-tested"/>
      <w:bookmarkStart w:id="21" w:name="_Toc128398381"/>
      <w:bookmarkEnd w:id="20"/>
      <w:r w:rsidRPr="00EF1C1A">
        <w:t>4 Hypotheses tested</w:t>
      </w:r>
      <w:r w:rsidR="00E1341B" w:rsidRPr="00EF1C1A">
        <w:t xml:space="preserve"> and model settings</w:t>
      </w:r>
      <w:bookmarkEnd w:id="21"/>
    </w:p>
    <w:p w14:paraId="65A09B0F" w14:textId="77777777" w:rsidR="00EB2813" w:rsidRPr="00EF1C1A" w:rsidRDefault="00496271" w:rsidP="00275A69">
      <w:pPr>
        <w:pStyle w:val="Heading2"/>
      </w:pPr>
      <w:bookmarkStart w:id="22" w:name="higher-migrant-susceptibility"/>
      <w:bookmarkStart w:id="23" w:name="_Toc128398382"/>
      <w:bookmarkEnd w:id="22"/>
      <w:r w:rsidRPr="00EF1C1A">
        <w:t>4.1 Higher migrant susceptibility</w:t>
      </w:r>
      <w:bookmarkEnd w:id="23"/>
    </w:p>
    <w:p w14:paraId="5D6986C8" w14:textId="75F58A12" w:rsidR="00EB2813" w:rsidRPr="00EF1C1A" w:rsidRDefault="00496271">
      <w:r w:rsidRPr="00EF1C1A">
        <w:t xml:space="preserve">We formulated </w:t>
      </w:r>
      <w:r w:rsidR="00C54E4E" w:rsidRPr="00EF1C1A">
        <w:t>three</w:t>
      </w:r>
      <w:r w:rsidRPr="00EF1C1A">
        <w:t xml:space="preserve"> hypotheses related to the population susceptibility among migrants coming to Beijing (</w:t>
      </w:r>
      <w:proofErr w:type="spellStart"/>
      <w:r w:rsidR="005257AA">
        <w:t>MigSus</w:t>
      </w:r>
      <w:r w:rsidR="00F42819">
        <w:t>Base</w:t>
      </w:r>
      <w:proofErr w:type="spellEnd"/>
      <w:r w:rsidRPr="00EF1C1A">
        <w:t xml:space="preserve">, </w:t>
      </w:r>
      <w:proofErr w:type="spellStart"/>
      <w:r w:rsidR="005257AA">
        <w:t>MigSusMedium</w:t>
      </w:r>
      <w:proofErr w:type="spellEnd"/>
      <w:r w:rsidRPr="00EF1C1A">
        <w:t xml:space="preserve">, and </w:t>
      </w:r>
      <w:proofErr w:type="spellStart"/>
      <w:r w:rsidR="005257AA">
        <w:t>MigSusHigh</w:t>
      </w:r>
      <w:proofErr w:type="spellEnd"/>
      <w:r w:rsidRPr="00EF1C1A">
        <w:t xml:space="preserve">). These hypotheses correspond to different specifications of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(t)</m:t>
        </m:r>
      </m:oMath>
      <w:r w:rsidRPr="00EF1C1A">
        <w:t xml:space="preserve">,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E</m:t>
            </m:r>
          </m:sup>
        </m:sSubSup>
        <m:r>
          <w:rPr>
            <w:rFonts w:ascii="Cambria Math" w:hAnsi="Cambria Math"/>
          </w:rPr>
          <m:t>(t)</m:t>
        </m:r>
      </m:oMath>
      <w:r w:rsidRPr="00EF1C1A">
        <w:t xml:space="preserve">,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I</m:t>
            </m:r>
          </m:sup>
        </m:sSubSup>
        <m:r>
          <w:rPr>
            <w:rFonts w:ascii="Cambria Math" w:hAnsi="Cambria Math"/>
          </w:rPr>
          <m:t>(t)</m:t>
        </m:r>
      </m:oMath>
      <w:r w:rsidRPr="00EF1C1A">
        <w:t xml:space="preserve">, and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R</m:t>
            </m:r>
          </m:sup>
        </m:sSubSup>
        <m:r>
          <w:rPr>
            <w:rFonts w:ascii="Cambria Math" w:hAnsi="Cambria Math"/>
          </w:rPr>
          <m:t>(t)</m:t>
        </m:r>
      </m:oMath>
      <w:r w:rsidRPr="00EF1C1A">
        <w:t xml:space="preserve"> in Equation (1) of the main text, which represent the proportions of susceptible, exposed, infectious, and recovered individuals among migrants in the </w:t>
      </w:r>
      <m:oMath>
        <m:r>
          <w:rPr>
            <w:rFonts w:ascii="Cambria Math" w:hAnsi="Cambria Math"/>
          </w:rPr>
          <m:t>i</m:t>
        </m:r>
      </m:oMath>
      <w:r w:rsidRPr="00EF1C1A">
        <w:t xml:space="preserve">th age group at time </w:t>
      </w:r>
      <m:oMath>
        <m:r>
          <w:rPr>
            <w:rFonts w:ascii="Cambria Math" w:hAnsi="Cambria Math"/>
          </w:rPr>
          <m:t>t</m:t>
        </m:r>
      </m:oMath>
      <w:r w:rsidRPr="00EF1C1A">
        <w:t>, respectively.</w:t>
      </w:r>
    </w:p>
    <w:p w14:paraId="34649BEC" w14:textId="5C3B4046" w:rsidR="00EB2813" w:rsidRPr="00EF1C1A" w:rsidRDefault="00496271">
      <w:r w:rsidRPr="00EF1C1A">
        <w:t xml:space="preserve">Hypothesis </w:t>
      </w:r>
      <w:proofErr w:type="spellStart"/>
      <w:r w:rsidR="002162D3">
        <w:t>MigSus</w:t>
      </w:r>
      <w:r w:rsidR="00A879A9">
        <w:t>Base</w:t>
      </w:r>
      <w:proofErr w:type="spellEnd"/>
      <w:r w:rsidRPr="00EF1C1A">
        <w:t xml:space="preserve"> assumed migrants were as susceptible to measles as the population in Beijing; specifically,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m:t>
            </m:r>
          </m:sup>
        </m:sSubSup>
        <m:r>
          <w:rPr>
            <w:rFonts w:ascii="Cambria Math" w:hAnsi="Cambria Math"/>
          </w:rPr>
          <m:t>(t)</m:t>
        </m:r>
      </m:oMath>
      <w:r w:rsidRPr="00EF1C1A">
        <w:t xml:space="preserve"> was set to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w:r w:rsidRPr="00EF1C1A">
        <w:t xml:space="preserve"> where </w:t>
      </w:r>
      <m:oMath>
        <m:r>
          <w:rPr>
            <w:rFonts w:ascii="Cambria Math" w:hAnsi="Cambria Math"/>
          </w:rPr>
          <m:t>[.]∈{S,E,I,R}</m:t>
        </m:r>
      </m:oMath>
      <w:r w:rsidRPr="00EF1C1A">
        <w:t xml:space="preserve"> and </w:t>
      </w:r>
      <m:oMath>
        <m:f>
          <m:fPr>
            <m:ctrlPr>
              <w:rPr>
                <w:rFonts w:ascii="Cambria Math" w:hAnsi="Cambria Math"/>
              </w:rPr>
            </m:ctrlPr>
          </m:fPr>
          <m:num>
            <m:r>
              <w:rPr>
                <w:rFonts w:ascii="Cambria Math" w:hAnsi="Cambria Math"/>
              </w:rPr>
              <m:t>[.</m:t>
            </m:r>
            <m:sSub>
              <m:sSubPr>
                <m:ctrlPr>
                  <w:rPr>
                    <w:rFonts w:ascii="Cambria Math" w:hAnsi="Cambria Math"/>
                  </w:rPr>
                </m:ctrlPr>
              </m:sSubPr>
              <m:e>
                <m:r>
                  <w:rPr>
                    <w:rFonts w:ascii="Cambria Math" w:hAnsi="Cambria Math"/>
                  </w:rPr>
                  <m:t>]</m:t>
                </m:r>
              </m:e>
              <m:sub>
                <m:r>
                  <w:rPr>
                    <w:rFonts w:ascii="Cambria Math" w:hAnsi="Cambria Math"/>
                  </w:rPr>
                  <m:t>i</m:t>
                </m:r>
              </m:sub>
            </m:sSub>
          </m:num>
          <m:den>
            <m:sSub>
              <m:sSubPr>
                <m:ctrlPr>
                  <w:rPr>
                    <w:rFonts w:ascii="Cambria Math" w:hAnsi="Cambria Math"/>
                  </w:rPr>
                </m:ctrlPr>
              </m:sSubPr>
              <m:e>
                <m:r>
                  <w:rPr>
                    <w:rFonts w:ascii="Cambria Math" w:hAnsi="Cambria Math"/>
                  </w:rPr>
                  <m:t>N</m:t>
                </m:r>
              </m:e>
              <m:sub>
                <m:r>
                  <w:rPr>
                    <w:rFonts w:ascii="Cambria Math" w:hAnsi="Cambria Math"/>
                  </w:rPr>
                  <m:t>i</m:t>
                </m:r>
              </m:sub>
            </m:sSub>
          </m:den>
        </m:f>
      </m:oMath>
      <w:r w:rsidRPr="00EF1C1A">
        <w:t xml:space="preserve"> is the proportion of susceptible, exposed, infectious, or recovered individuals in the population of Beijing. Hypotheses </w:t>
      </w:r>
      <w:proofErr w:type="spellStart"/>
      <w:r w:rsidR="002162D3">
        <w:t>MigSusMedium</w:t>
      </w:r>
      <w:proofErr w:type="spellEnd"/>
      <w:r w:rsidRPr="00EF1C1A">
        <w:t xml:space="preserve"> and </w:t>
      </w:r>
      <w:proofErr w:type="spellStart"/>
      <w:r w:rsidR="002162D3">
        <w:t>MigSusHigh</w:t>
      </w:r>
      <w:proofErr w:type="spellEnd"/>
      <w:r w:rsidRPr="00EF1C1A">
        <w:t xml:space="preserve"> assumed migrants were as susceptible as and 50% more susceptible than the population of Shandong, respectively; specifically,</w:t>
      </w:r>
    </w:p>
    <w:p w14:paraId="2B9E6433" w14:textId="7676AFF9" w:rsidR="00093AF7" w:rsidRPr="00EF1C1A" w:rsidRDefault="00000000">
      <m:oMathPara>
        <m:oMath>
          <m:eqArr>
            <m:eqArrPr>
              <m:maxDist m:val="1"/>
              <m:ctrlPr>
                <w:rPr>
                  <w:rFonts w:ascii="Cambria Math" w:hAnsi="Cambria Math"/>
                  <w:i/>
                </w:rPr>
              </m:ctrlPr>
            </m:eqArrPr>
            <m:e>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S</m:t>
                  </m:r>
                </m:sup>
              </m:sSubSup>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SD</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SD</m:t>
                                </m:r>
                              </m:sup>
                            </m:sSubSup>
                          </m:den>
                        </m:f>
                      </m:e>
                      <m:e>
                        <m:r>
                          <m:rPr>
                            <m:sty m:val="p"/>
                          </m:rPr>
                          <w:rPr>
                            <w:rFonts w:ascii="Cambria Math" w:hAnsi="Cambria Math"/>
                          </w:rPr>
                          <m:t xml:space="preserve">if </m:t>
                        </m:r>
                        <m:r>
                          <w:rPr>
                            <w:rFonts w:ascii="Cambria Math" w:hAnsi="Cambria Math"/>
                          </w:rPr>
                          <m:t>i∈</m:t>
                        </m:r>
                        <m:d>
                          <m:dPr>
                            <m:begChr m:val="{"/>
                            <m:endChr m:val="}"/>
                            <m:ctrlPr>
                              <w:rPr>
                                <w:rFonts w:ascii="Cambria Math" w:hAnsi="Cambria Math"/>
                                <w:i/>
                              </w:rPr>
                            </m:ctrlPr>
                          </m:dPr>
                          <m:e>
                            <m:r>
                              <w:rPr>
                                <w:rFonts w:ascii="Cambria Math" w:hAnsi="Cambria Math"/>
                              </w:rPr>
                              <m:t>1,4</m:t>
                            </m:r>
                          </m:e>
                        </m:d>
                      </m:e>
                    </m:mr>
                    <m:mr>
                      <m:e>
                        <m:r>
                          <w:rPr>
                            <w:rFonts w:ascii="Cambria Math" w:hAnsi="Cambria Math"/>
                          </w:rPr>
                          <m:t>ρ</m:t>
                        </m:r>
                        <m:f>
                          <m:fPr>
                            <m:ctrlPr>
                              <w:rPr>
                                <w:rFonts w:ascii="Cambria Math" w:hAnsi="Cambria Math"/>
                              </w:rPr>
                            </m:ctrlPr>
                          </m:fPr>
                          <m:num>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SD</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SD</m:t>
                                </m:r>
                              </m:sup>
                            </m:sSubSup>
                          </m:den>
                        </m:f>
                      </m:e>
                      <m:e>
                        <m:r>
                          <m:rPr>
                            <m:sty m:val="p"/>
                          </m:rPr>
                          <w:rPr>
                            <w:rFonts w:ascii="Cambria Math" w:hAnsi="Cambria Math"/>
                          </w:rPr>
                          <m:t xml:space="preserve">if </m:t>
                        </m:r>
                        <m:r>
                          <w:rPr>
                            <w:rFonts w:ascii="Cambria Math" w:hAnsi="Cambria Math"/>
                          </w:rPr>
                          <m:t>i∈</m:t>
                        </m:r>
                        <m:d>
                          <m:dPr>
                            <m:begChr m:val="{"/>
                            <m:endChr m:val="}"/>
                            <m:ctrlPr>
                              <w:rPr>
                                <w:rFonts w:ascii="Cambria Math" w:hAnsi="Cambria Math"/>
                                <w:i/>
                              </w:rPr>
                            </m:ctrlPr>
                          </m:dPr>
                          <m:e>
                            <m:r>
                              <w:rPr>
                                <w:rFonts w:ascii="Cambria Math" w:hAnsi="Cambria Math"/>
                              </w:rPr>
                              <m:t>2,3</m:t>
                            </m:r>
                          </m:e>
                        </m:d>
                      </m:e>
                    </m:mr>
                  </m:m>
                </m:e>
              </m:d>
              <m:r>
                <w:rPr>
                  <w:rFonts w:ascii="Cambria Math" w:hAnsi="Cambria Math"/>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E</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E</m:t>
                      </m:r>
                    </m:e>
                    <m:sub>
                      <m:r>
                        <w:rPr>
                          <w:rFonts w:ascii="Cambria Math" w:hAnsi="Cambria Math"/>
                        </w:rPr>
                        <m:t>i</m:t>
                      </m:r>
                    </m:sub>
                    <m:sup>
                      <m:r>
                        <w:rPr>
                          <w:rFonts w:ascii="Cambria Math" w:hAnsi="Cambria Math"/>
                        </w:rPr>
                        <m:t>SD</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SD</m:t>
                      </m:r>
                    </m:sup>
                  </m:sSubSup>
                </m:den>
              </m:f>
              <m:r>
                <w:rPr>
                  <w:rFonts w:ascii="Cambria Math" w:hAnsi="Cambria Math"/>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I</m:t>
                  </m:r>
                </m:sup>
              </m:sSubSup>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rPr>
                  </m:ctrlPr>
                </m:fPr>
                <m:num>
                  <m:sSubSup>
                    <m:sSubSupPr>
                      <m:ctrlPr>
                        <w:rPr>
                          <w:rFonts w:ascii="Cambria Math" w:hAnsi="Cambria Math"/>
                        </w:rPr>
                      </m:ctrlPr>
                    </m:sSubSupPr>
                    <m:e>
                      <m:r>
                        <w:rPr>
                          <w:rFonts w:ascii="Cambria Math" w:hAnsi="Cambria Math"/>
                        </w:rPr>
                        <m:t>I</m:t>
                      </m:r>
                    </m:e>
                    <m:sub>
                      <m:r>
                        <w:rPr>
                          <w:rFonts w:ascii="Cambria Math" w:hAnsi="Cambria Math"/>
                        </w:rPr>
                        <m:t>i</m:t>
                      </m:r>
                    </m:sub>
                    <m:sup>
                      <m:r>
                        <w:rPr>
                          <w:rFonts w:ascii="Cambria Math" w:hAnsi="Cambria Math"/>
                        </w:rPr>
                        <m:t>SD</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SD</m:t>
                      </m:r>
                    </m:sup>
                  </m:sSubSup>
                </m:den>
              </m:f>
              <m:r>
                <w:rPr>
                  <w:rFonts w:ascii="Cambria Math" w:hAnsi="Cambria Math"/>
                </w:rPr>
                <m:t>#</m:t>
              </m:r>
              <m:d>
                <m:dPr>
                  <m:ctrlPr>
                    <w:rPr>
                      <w:rFonts w:ascii="Cambria Math" w:hAnsi="Cambria Math"/>
                      <w:i/>
                    </w:rPr>
                  </m:ctrlPr>
                </m:dPr>
                <m:e>
                  <m:r>
                    <w:rPr>
                      <w:rFonts w:ascii="Cambria Math" w:hAnsi="Cambria Math"/>
                    </w:rPr>
                    <m:t>5</m:t>
                  </m:r>
                </m:e>
              </m:d>
            </m:e>
          </m:eqArr>
        </m:oMath>
      </m:oMathPara>
    </w:p>
    <w:p w14:paraId="2E079793" w14:textId="4CF6011A" w:rsidR="00EB2813" w:rsidRPr="00EF1C1A" w:rsidRDefault="00000000">
      <m:oMath>
        <m:f>
          <m:fPr>
            <m:ctrlPr>
              <w:rPr>
                <w:rFonts w:ascii="Cambria Math" w:hAnsi="Cambria Math"/>
              </w:rPr>
            </m:ctrlPr>
          </m:fPr>
          <m:num>
            <m:r>
              <w:rPr>
                <w:rFonts w:ascii="Cambria Math" w:hAnsi="Cambria Math"/>
              </w:rPr>
              <m:t>[.</m:t>
            </m:r>
            <m:sSubSup>
              <m:sSubSupPr>
                <m:ctrlPr>
                  <w:rPr>
                    <w:rFonts w:ascii="Cambria Math" w:hAnsi="Cambria Math"/>
                  </w:rPr>
                </m:ctrlPr>
              </m:sSubSupPr>
              <m:e>
                <m:r>
                  <w:rPr>
                    <w:rFonts w:ascii="Cambria Math" w:hAnsi="Cambria Math"/>
                  </w:rPr>
                  <m:t>]</m:t>
                </m:r>
              </m:e>
              <m:sub>
                <m:r>
                  <w:rPr>
                    <w:rFonts w:ascii="Cambria Math" w:hAnsi="Cambria Math"/>
                  </w:rPr>
                  <m:t>i</m:t>
                </m:r>
              </m:sub>
              <m:sup>
                <m:r>
                  <w:rPr>
                    <w:rFonts w:ascii="Cambria Math" w:hAnsi="Cambria Math"/>
                  </w:rPr>
                  <m:t>SD</m:t>
                </m:r>
              </m:sup>
            </m:sSubSup>
          </m:num>
          <m:den>
            <m:sSubSup>
              <m:sSubSupPr>
                <m:ctrlPr>
                  <w:rPr>
                    <w:rFonts w:ascii="Cambria Math" w:hAnsi="Cambria Math"/>
                  </w:rPr>
                </m:ctrlPr>
              </m:sSubSupPr>
              <m:e>
                <m:r>
                  <w:rPr>
                    <w:rFonts w:ascii="Cambria Math" w:hAnsi="Cambria Math"/>
                  </w:rPr>
                  <m:t>N</m:t>
                </m:r>
              </m:e>
              <m:sub>
                <m:r>
                  <w:rPr>
                    <w:rFonts w:ascii="Cambria Math" w:hAnsi="Cambria Math"/>
                  </w:rPr>
                  <m:t>i</m:t>
                </m:r>
              </m:sub>
              <m:sup>
                <m:r>
                  <w:rPr>
                    <w:rFonts w:ascii="Cambria Math" w:hAnsi="Cambria Math"/>
                  </w:rPr>
                  <m:t>SD</m:t>
                </m:r>
              </m:sup>
            </m:sSubSup>
          </m:den>
        </m:f>
      </m:oMath>
      <w:r w:rsidR="00496271" w:rsidRPr="00EF1C1A">
        <w:t xml:space="preserve"> (</w:t>
      </w:r>
      <m:oMath>
        <m:r>
          <w:rPr>
            <w:rFonts w:ascii="Cambria Math" w:hAnsi="Cambria Math"/>
          </w:rPr>
          <m:t>[.]∈{S,E,I}</m:t>
        </m:r>
      </m:oMath>
      <w:r w:rsidR="00496271" w:rsidRPr="00EF1C1A">
        <w:t xml:space="preserve">) is the proportion of susceptible, exposed, or infectious individuals in the population of Shandong. For </w:t>
      </w:r>
      <w:proofErr w:type="spellStart"/>
      <w:r w:rsidR="00F61E8E">
        <w:t>MigSusMedium</w:t>
      </w:r>
      <w:proofErr w:type="spellEnd"/>
      <w:r w:rsidR="00496271" w:rsidRPr="00EF1C1A">
        <w:t xml:space="preserve"> and </w:t>
      </w:r>
      <w:proofErr w:type="spellStart"/>
      <w:r w:rsidR="00F61E8E">
        <w:t>MigSusHigh</w:t>
      </w:r>
      <w:proofErr w:type="spellEnd"/>
      <w:r w:rsidR="00496271" w:rsidRPr="00EF1C1A">
        <w:t xml:space="preserve">, </w:t>
      </w:r>
      <m:oMath>
        <m:r>
          <w:rPr>
            <w:rFonts w:ascii="Cambria Math" w:hAnsi="Cambria Math"/>
          </w:rPr>
          <m:t>ρ</m:t>
        </m:r>
      </m:oMath>
      <w:r w:rsidR="00496271" w:rsidRPr="00EF1C1A">
        <w:t xml:space="preserve">=1 and 1.5, respectively. For all hypotheses, </w:t>
      </w:r>
      <m:oMath>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R</m:t>
            </m:r>
          </m:sup>
        </m:sSubSup>
        <m:r>
          <w:rPr>
            <w:rFonts w:ascii="Cambria Math" w:hAnsi="Cambria Math"/>
          </w:rPr>
          <m:t>(t)=1-</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S</m:t>
            </m:r>
          </m:sup>
        </m:sSubSup>
        <m:r>
          <w:rPr>
            <w:rFonts w:ascii="Cambria Math" w:hAnsi="Cambria Math"/>
          </w:rPr>
          <m:t>(t)-</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E</m:t>
            </m:r>
          </m:sup>
        </m:sSubSup>
        <m:r>
          <w:rPr>
            <w:rFonts w:ascii="Cambria Math" w:hAnsi="Cambria Math"/>
          </w:rPr>
          <m:t>(t)-</m:t>
        </m:r>
        <m:sSubSup>
          <m:sSubSupPr>
            <m:ctrlPr>
              <w:rPr>
                <w:rFonts w:ascii="Cambria Math" w:hAnsi="Cambria Math"/>
              </w:rPr>
            </m:ctrlPr>
          </m:sSubSupPr>
          <m:e>
            <m:r>
              <w:rPr>
                <w:rFonts w:ascii="Cambria Math" w:hAnsi="Cambria Math"/>
              </w:rPr>
              <m:t>f</m:t>
            </m:r>
          </m:e>
          <m:sub>
            <m:r>
              <w:rPr>
                <w:rFonts w:ascii="Cambria Math" w:hAnsi="Cambria Math"/>
              </w:rPr>
              <m:t>i</m:t>
            </m:r>
          </m:sub>
          <m:sup>
            <m:r>
              <w:rPr>
                <w:rFonts w:ascii="Cambria Math" w:hAnsi="Cambria Math"/>
              </w:rPr>
              <m:t>I</m:t>
            </m:r>
          </m:sup>
        </m:sSubSup>
        <m:r>
          <w:rPr>
            <w:rFonts w:ascii="Cambria Math" w:hAnsi="Cambria Math"/>
          </w:rPr>
          <m:t>(t)</m:t>
        </m:r>
      </m:oMath>
      <w:r w:rsidR="00496271" w:rsidRPr="00EF1C1A">
        <w:t>.</w:t>
      </w:r>
    </w:p>
    <w:p w14:paraId="5E8B5D35" w14:textId="5026524E" w:rsidR="00A9527E" w:rsidRPr="00B62349" w:rsidRDefault="003B4CF8">
      <w:r w:rsidRPr="00B62349">
        <w:t>We note t</w:t>
      </w:r>
      <w:r w:rsidR="00A9527E" w:rsidRPr="00B62349">
        <w:t xml:space="preserve">wo further points below. First, we applied the adjustment </w:t>
      </w:r>
      <m:oMath>
        <m:r>
          <w:rPr>
            <w:rFonts w:ascii="Cambria Math" w:hAnsi="Cambria Math"/>
          </w:rPr>
          <m:t>ρ</m:t>
        </m:r>
      </m:oMath>
      <w:r w:rsidR="00A9527E" w:rsidRPr="00B62349">
        <w:t xml:space="preserve"> only to Groups 2 and 3 because the susceptibility difference was likely most pronounced among these two age </w:t>
      </w:r>
      <w:r w:rsidR="00A9527E" w:rsidRPr="00B62349">
        <w:lastRenderedPageBreak/>
        <w:t xml:space="preserve">groups; recent routine EPI programs (for Group 1) were of high coverage in most regions and most of those above 50 years (Group 4) had natural infections. Second, </w:t>
      </w:r>
      <w:r w:rsidR="00A9527E" w:rsidRPr="00B62349">
        <w:rPr>
          <w:lang w:val="en-HK"/>
        </w:rPr>
        <w:t>we used estimates of population susceptibility of Shandong from our previous research as a proxy for migrant susceptibility</w:t>
      </w:r>
      <w:r w:rsidR="00E46250" w:rsidRPr="00B62349">
        <w:rPr>
          <w:lang w:val="en-HK"/>
        </w:rPr>
        <w:t xml:space="preserve"> [</w:t>
      </w:r>
      <w:r w:rsidR="00DD51C8" w:rsidRPr="00B62349">
        <w:rPr>
          <w:lang w:val="en-HK"/>
        </w:rPr>
        <w:t>1</w:t>
      </w:r>
      <w:r w:rsidR="002C2913">
        <w:rPr>
          <w:lang w:val="en-HK"/>
        </w:rPr>
        <w:t>1</w:t>
      </w:r>
      <w:r w:rsidR="00E46250" w:rsidRPr="00B62349">
        <w:rPr>
          <w:lang w:val="en-HK"/>
        </w:rPr>
        <w:t>]</w:t>
      </w:r>
      <w:r w:rsidR="00A9527E" w:rsidRPr="00B62349">
        <w:rPr>
          <w:lang w:val="en-HK"/>
        </w:rPr>
        <w:t>. These estimates were available for a part of our study period, i.e., 1995-2004. For 2005-2019, we assumed the migrant population susceptibility was the same with that in 2004. However, because a nationwide SIA was conducted in 2010, during which about half of children aged 8 months to 14 years across China were vaccinated regardless of vaccination history, we assumed the migrant population susceptibility for those aged 1-14 decreased by half after that SIA.</w:t>
      </w:r>
    </w:p>
    <w:p w14:paraId="26CB86E6" w14:textId="22DF28CF" w:rsidR="00C54E4E" w:rsidRPr="00EF1C1A" w:rsidRDefault="00C54E4E" w:rsidP="00275A69">
      <w:pPr>
        <w:pStyle w:val="Heading2"/>
      </w:pPr>
      <w:bookmarkStart w:id="24" w:name="_Toc128398383"/>
      <w:r w:rsidRPr="00EF1C1A">
        <w:t xml:space="preserve">4.2 </w:t>
      </w:r>
      <w:r w:rsidR="000D5080">
        <w:t>Case i</w:t>
      </w:r>
      <w:r w:rsidR="00EF1C1A">
        <w:t>mportation</w:t>
      </w:r>
      <w:r w:rsidR="000D5080">
        <w:t xml:space="preserve"> due to migrant influx</w:t>
      </w:r>
      <w:bookmarkEnd w:id="24"/>
    </w:p>
    <w:p w14:paraId="76825435" w14:textId="5176209A" w:rsidR="00C54E4E" w:rsidRPr="00EF1C1A" w:rsidRDefault="0009401B">
      <w:r w:rsidRPr="00EF1C1A">
        <w:t xml:space="preserve">We formulated three hypotheses </w:t>
      </w:r>
      <w:r w:rsidR="00914948" w:rsidRPr="00EF1C1A">
        <w:t>related to</w:t>
      </w:r>
      <w:r w:rsidRPr="00EF1C1A">
        <w:t xml:space="preserve"> </w:t>
      </w:r>
      <w:r w:rsidR="003838F6">
        <w:t>case importation (seeding) via</w:t>
      </w:r>
      <w:r w:rsidR="003D340F" w:rsidRPr="00EF1C1A">
        <w:t xml:space="preserve"> migration </w:t>
      </w:r>
      <w:r w:rsidRPr="00EF1C1A">
        <w:t>(</w:t>
      </w:r>
      <w:proofErr w:type="spellStart"/>
      <w:r w:rsidRPr="00EF1C1A">
        <w:t>BaseSeed</w:t>
      </w:r>
      <w:proofErr w:type="spellEnd"/>
      <w:r w:rsidRPr="00EF1C1A">
        <w:t xml:space="preserve">, </w:t>
      </w:r>
      <w:proofErr w:type="spellStart"/>
      <w:r w:rsidRPr="00EF1C1A">
        <w:t>MediumSeed</w:t>
      </w:r>
      <w:proofErr w:type="spellEnd"/>
      <w:r w:rsidRPr="00EF1C1A">
        <w:t xml:space="preserve">, and </w:t>
      </w:r>
      <w:proofErr w:type="spellStart"/>
      <w:r w:rsidRPr="00EF1C1A">
        <w:t>StrongSeed</w:t>
      </w:r>
      <w:proofErr w:type="spellEnd"/>
      <w:r w:rsidRPr="00EF1C1A">
        <w:t xml:space="preserve">). These </w:t>
      </w:r>
      <w:proofErr w:type="spellStart"/>
      <w:r w:rsidRPr="00EF1C1A">
        <w:t>hypothese</w:t>
      </w:r>
      <w:proofErr w:type="spellEnd"/>
      <w:r w:rsidRPr="00EF1C1A">
        <w:t xml:space="preserve"> correspond to different specifications of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(t)</m:t>
        </m:r>
      </m:oMath>
      <w:r w:rsidRPr="00EF1C1A">
        <w:t xml:space="preserve"> in Equation (1) of the main text;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(t)</m:t>
        </m:r>
      </m:oMath>
      <w:r w:rsidRPr="00EF1C1A">
        <w:t xml:space="preserve"> represents </w:t>
      </w:r>
      <w:r w:rsidR="00C46DEB" w:rsidRPr="00EF1C1A">
        <w:t xml:space="preserve">the number of imported cases for the </w:t>
      </w:r>
      <m:oMath>
        <m:r>
          <w:rPr>
            <w:rFonts w:ascii="Cambria Math" w:hAnsi="Cambria Math"/>
          </w:rPr>
          <m:t>i</m:t>
        </m:r>
      </m:oMath>
      <w:r w:rsidR="00C46DEB" w:rsidRPr="00EF1C1A">
        <w:t xml:space="preserve">th age group at time </w:t>
      </w:r>
      <m:oMath>
        <m:r>
          <w:rPr>
            <w:rFonts w:ascii="Cambria Math" w:hAnsi="Cambria Math"/>
          </w:rPr>
          <m:t>t</m:t>
        </m:r>
      </m:oMath>
      <w:r w:rsidR="00C46DEB" w:rsidRPr="00EF1C1A">
        <w:t>.</w:t>
      </w:r>
    </w:p>
    <w:p w14:paraId="7983A6E1" w14:textId="434A0B87" w:rsidR="001E6FFF" w:rsidRPr="00EF1C1A" w:rsidRDefault="00655AD4">
      <w:r w:rsidRPr="00EF1C1A">
        <w:t xml:space="preserve">For </w:t>
      </w:r>
      <w:proofErr w:type="spellStart"/>
      <w:r w:rsidRPr="00EF1C1A">
        <w:t>BaseSeed</w:t>
      </w:r>
      <w:proofErr w:type="spellEnd"/>
      <w:r w:rsidRPr="00EF1C1A">
        <w:t xml:space="preserve">,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(t)</m:t>
        </m:r>
      </m:oMath>
      <w:r w:rsidRPr="00EF1C1A">
        <w:t xml:space="preserve"> was set to 1 for </w:t>
      </w:r>
      <m:oMath>
        <m:r>
          <w:rPr>
            <w:rFonts w:ascii="Cambria Math" w:hAnsi="Cambria Math"/>
          </w:rPr>
          <m:t>i∈</m:t>
        </m:r>
        <m:d>
          <m:dPr>
            <m:begChr m:val="{"/>
            <m:endChr m:val="}"/>
            <m:ctrlPr>
              <w:rPr>
                <w:rFonts w:ascii="Cambria Math" w:hAnsi="Cambria Math"/>
                <w:i/>
              </w:rPr>
            </m:ctrlPr>
          </m:dPr>
          <m:e>
            <m:r>
              <w:rPr>
                <w:rFonts w:ascii="Cambria Math" w:hAnsi="Cambria Math"/>
              </w:rPr>
              <m:t>1,2,3</m:t>
            </m:r>
          </m:e>
        </m:d>
      </m:oMath>
      <w:r w:rsidRPr="00EF1C1A">
        <w:t xml:space="preserve"> on the 8th day after the LNY and on October 1st (the national day). Both days are major holidays in China with substantial </w:t>
      </w:r>
      <w:r w:rsidR="004649FA" w:rsidRPr="00EF1C1A">
        <w:t>travel</w:t>
      </w:r>
      <w:r w:rsidRPr="00EF1C1A">
        <w:t xml:space="preserve">. </w:t>
      </w:r>
      <w:r w:rsidR="00DE1DFC" w:rsidRPr="00EF1C1A">
        <w:t xml:space="preserve">For </w:t>
      </w:r>
      <w:proofErr w:type="spellStart"/>
      <w:r w:rsidR="00DE1DFC" w:rsidRPr="00EF1C1A">
        <w:t>MediumSeed</w:t>
      </w:r>
      <w:proofErr w:type="spellEnd"/>
      <w:r w:rsidR="00DE1DFC" w:rsidRPr="00EF1C1A">
        <w:t xml:space="preserve"> and </w:t>
      </w:r>
      <w:proofErr w:type="spellStart"/>
      <w:r w:rsidR="00DE1DFC" w:rsidRPr="00EF1C1A">
        <w:t>StrongSeed</w:t>
      </w:r>
      <w:proofErr w:type="spellEnd"/>
      <w:r w:rsidR="00DE1DFC" w:rsidRPr="00EF1C1A">
        <w:t xml:space="preserve">, we considered case importation on top of the </w:t>
      </w:r>
      <w:proofErr w:type="spellStart"/>
      <w:r w:rsidR="00DE1DFC" w:rsidRPr="00EF1C1A">
        <w:t>BaseSeed</w:t>
      </w:r>
      <w:proofErr w:type="spellEnd"/>
      <w:r w:rsidR="00DE1DFC" w:rsidRPr="00EF1C1A">
        <w:t xml:space="preserve"> scenario</w:t>
      </w:r>
      <w:r w:rsidR="00DF74D2" w:rsidRPr="00EF1C1A">
        <w:t xml:space="preserve"> on the 8th to 10th day after the LNY</w:t>
      </w:r>
      <w:r w:rsidR="00DE1DFC" w:rsidRPr="00EF1C1A">
        <w:t xml:space="preserve">. </w:t>
      </w:r>
      <w:r w:rsidR="005C1EE1" w:rsidRPr="00EF1C1A">
        <w:t xml:space="preserve">For </w:t>
      </w:r>
      <w:r w:rsidR="00901F5D" w:rsidRPr="00EF1C1A">
        <w:t>those days</w:t>
      </w:r>
      <w:r w:rsidR="00DE1DFC" w:rsidRPr="00EF1C1A">
        <w:t xml:space="preserve">, we added </w:t>
      </w:r>
      <m:oMath>
        <m:r>
          <w:rPr>
            <w:rFonts w:ascii="Cambria Math" w:hAnsi="Cambria Math"/>
          </w:rPr>
          <m:t>MigPop</m:t>
        </m:r>
        <m:r>
          <m:rPr>
            <m:sty m:val="p"/>
          </m:rPr>
          <w:rPr>
            <w:rFonts w:ascii="Cambria Math" w:hAnsi="Cambria Math"/>
          </w:rPr>
          <w:sym w:font="Symbol" w:char="F0B4"/>
        </m:r>
        <m:r>
          <w:rPr>
            <w:rFonts w:ascii="Cambria Math" w:hAnsi="Cambria Math"/>
          </w:rPr>
          <m:t>ScalingFactor</m:t>
        </m:r>
        <m:r>
          <m:rPr>
            <m:sty m:val="p"/>
          </m:rPr>
          <w:rPr>
            <w:rFonts w:ascii="Cambria Math" w:hAnsi="Cambria Math"/>
          </w:rPr>
          <w:sym w:font="Symbol" w:char="F0B4"/>
        </m:r>
        <m:sSub>
          <m:sSubPr>
            <m:ctrlPr>
              <w:rPr>
                <w:rFonts w:ascii="Cambria Math" w:hAnsi="Cambria Math"/>
              </w:rPr>
            </m:ctrlPr>
          </m:sSubPr>
          <m:e>
            <m:r>
              <w:rPr>
                <w:rFonts w:ascii="Cambria Math" w:hAnsi="Cambria Math"/>
              </w:rPr>
              <m:t>p</m:t>
            </m:r>
          </m:e>
          <m:sub>
            <m:r>
              <w:rPr>
                <w:rFonts w:ascii="Cambria Math" w:hAnsi="Cambria Math"/>
              </w:rPr>
              <m:t>i</m:t>
            </m:r>
          </m:sub>
        </m:sSub>
      </m:oMath>
      <w:r w:rsidR="00E63F46" w:rsidRPr="00EF1C1A">
        <w:t xml:space="preserve"> to </w:t>
      </w:r>
      <m:oMath>
        <m:sSub>
          <m:sSubPr>
            <m:ctrlPr>
              <w:rPr>
                <w:rFonts w:ascii="Cambria Math" w:hAnsi="Cambria Math"/>
              </w:rPr>
            </m:ctrlPr>
          </m:sSubPr>
          <m:e>
            <m:r>
              <w:rPr>
                <w:rFonts w:ascii="Cambria Math" w:hAnsi="Cambria Math"/>
              </w:rPr>
              <m:t>h</m:t>
            </m:r>
          </m:e>
          <m:sub>
            <m:r>
              <w:rPr>
                <w:rFonts w:ascii="Cambria Math" w:hAnsi="Cambria Math"/>
              </w:rPr>
              <m:t>i</m:t>
            </m:r>
          </m:sub>
        </m:sSub>
        <m:r>
          <w:rPr>
            <w:rFonts w:ascii="Cambria Math" w:hAnsi="Cambria Math"/>
          </w:rPr>
          <m:t>(t)</m:t>
        </m:r>
      </m:oMath>
      <w:r w:rsidR="00E63F46" w:rsidRPr="00EF1C1A">
        <w:t>.</w:t>
      </w:r>
      <w:r w:rsidR="001E393D" w:rsidRPr="00EF1C1A">
        <w:t xml:space="preserve"> </w:t>
      </w:r>
      <m:oMath>
        <m:r>
          <w:rPr>
            <w:rFonts w:ascii="Cambria Math" w:hAnsi="Cambria Math"/>
          </w:rPr>
          <m:t>MigPop</m:t>
        </m:r>
      </m:oMath>
      <w:r w:rsidR="008C5392" w:rsidRPr="00EF1C1A">
        <w:t xml:space="preserve"> r</w:t>
      </w:r>
      <w:proofErr w:type="spellStart"/>
      <w:r w:rsidR="006D5D6D" w:rsidRPr="00EF1C1A">
        <w:t>epresents</w:t>
      </w:r>
      <w:proofErr w:type="spellEnd"/>
      <w:r w:rsidR="006D5D6D" w:rsidRPr="00EF1C1A">
        <w:t xml:space="preserve"> </w:t>
      </w:r>
      <w:r w:rsidR="008C5392" w:rsidRPr="00EF1C1A">
        <w:t>yearly</w:t>
      </w:r>
      <w:r w:rsidR="006D5D6D" w:rsidRPr="00EF1C1A">
        <w:t xml:space="preserve"> net migrant influx; </w:t>
      </w:r>
      <m:oMath>
        <m:r>
          <w:rPr>
            <w:rFonts w:ascii="Cambria Math" w:hAnsi="Cambria Math"/>
          </w:rPr>
          <m:t>ScalingFactor</m:t>
        </m:r>
      </m:oMath>
      <w:r w:rsidR="006D5D6D" w:rsidRPr="00EF1C1A">
        <w:t>=</w:t>
      </w:r>
      <m:oMath>
        <m:sSup>
          <m:sSupPr>
            <m:ctrlPr>
              <w:rPr>
                <w:rFonts w:ascii="Cambria Math" w:hAnsi="Cambria Math"/>
                <w:i/>
              </w:rPr>
            </m:ctrlPr>
          </m:sSupPr>
          <m:e>
            <m:r>
              <w:rPr>
                <w:rFonts w:ascii="Cambria Math" w:hAnsi="Cambria Math"/>
              </w:rPr>
              <m:t>10</m:t>
            </m:r>
          </m:e>
          <m:sup>
            <m:r>
              <w:rPr>
                <w:rFonts w:ascii="Cambria Math" w:hAnsi="Cambria Math"/>
              </w:rPr>
              <m:t>-5</m:t>
            </m:r>
          </m:sup>
        </m:sSup>
      </m:oMath>
      <w:r w:rsidR="008C5392" w:rsidRPr="00EF1C1A">
        <w:t xml:space="preserve"> </w:t>
      </w:r>
      <w:r w:rsidR="003838F6">
        <w:t>and</w:t>
      </w:r>
      <w:r w:rsidR="008C5392" w:rsidRPr="00EF1C1A">
        <w:t xml:space="preserve"> </w:t>
      </w:r>
      <m:oMath>
        <m:r>
          <w:rPr>
            <w:rFonts w:ascii="Cambria Math" w:hAnsi="Cambria Math"/>
          </w:rPr>
          <m:t>2</m:t>
        </m:r>
        <m:sSup>
          <m:sSupPr>
            <m:ctrlPr>
              <w:rPr>
                <w:rFonts w:ascii="Cambria Math" w:hAnsi="Cambria Math"/>
                <w:i/>
              </w:rPr>
            </m:ctrlPr>
          </m:sSupPr>
          <m:e>
            <m:r>
              <m:rPr>
                <m:sty m:val="p"/>
              </m:rPr>
              <w:rPr>
                <w:rFonts w:ascii="Cambria Math" w:hAnsi="Cambria Math"/>
              </w:rPr>
              <w:sym w:font="Symbol" w:char="F0B4"/>
            </m:r>
            <m:r>
              <w:rPr>
                <w:rFonts w:ascii="Cambria Math" w:hAnsi="Cambria Math"/>
              </w:rPr>
              <m:t>10</m:t>
            </m:r>
          </m:e>
          <m:sup>
            <m:r>
              <w:rPr>
                <w:rFonts w:ascii="Cambria Math" w:hAnsi="Cambria Math"/>
              </w:rPr>
              <m:t>-5</m:t>
            </m:r>
          </m:sup>
        </m:sSup>
      </m:oMath>
      <w:r w:rsidR="008C5392" w:rsidRPr="00EF1C1A">
        <w:t xml:space="preserve"> for MediumSeed and StrongSeed</w:t>
      </w:r>
      <w:r w:rsidR="009C459A" w:rsidRPr="00EF1C1A">
        <w:t>, respectively</w:t>
      </w:r>
      <w:r w:rsidR="008C5392" w:rsidRPr="00EF1C1A">
        <w:t xml:space="preserve">; </w:t>
      </w:r>
      <m:oMath>
        <m:sSub>
          <m:sSubPr>
            <m:ctrlPr>
              <w:rPr>
                <w:rFonts w:ascii="Cambria Math" w:hAnsi="Cambria Math"/>
              </w:rPr>
            </m:ctrlPr>
          </m:sSubPr>
          <m:e>
            <m:r>
              <w:rPr>
                <w:rFonts w:ascii="Cambria Math" w:hAnsi="Cambria Math"/>
              </w:rPr>
              <m:t>p</m:t>
            </m:r>
          </m:e>
          <m:sub>
            <m:r>
              <w:rPr>
                <w:rFonts w:ascii="Cambria Math" w:hAnsi="Cambria Math"/>
              </w:rPr>
              <m:t>i</m:t>
            </m:r>
          </m:sub>
        </m:sSub>
      </m:oMath>
      <w:r w:rsidR="008C5392" w:rsidRPr="00EF1C1A">
        <w:t xml:space="preserve">=0, 1/3, 2/3, and 0 for </w:t>
      </w:r>
      <w:r w:rsidR="003838F6">
        <w:t>Groups 1-4 (</w:t>
      </w:r>
      <w:r w:rsidR="008C5392" w:rsidRPr="00EF1C1A">
        <w:t>those aged &lt;1, 1-14, 15-50, and &gt;50</w:t>
      </w:r>
      <w:r w:rsidR="003838F6">
        <w:t>)</w:t>
      </w:r>
      <w:r w:rsidR="008C5392" w:rsidRPr="00EF1C1A">
        <w:t xml:space="preserve">, respectively. </w:t>
      </w:r>
      <w:r w:rsidR="009363C6" w:rsidRPr="00EF1C1A">
        <w:t xml:space="preserve">For </w:t>
      </w:r>
      <w:proofErr w:type="spellStart"/>
      <w:r w:rsidR="009363C6" w:rsidRPr="00EF1C1A">
        <w:t>MediumSeed</w:t>
      </w:r>
      <w:proofErr w:type="spellEnd"/>
      <w:r w:rsidR="009363C6" w:rsidRPr="00EF1C1A">
        <w:t xml:space="preserve">, </w:t>
      </w:r>
      <w:r w:rsidR="00CD4936" w:rsidRPr="00EF1C1A">
        <w:t xml:space="preserve">the </w:t>
      </w:r>
      <w:r w:rsidR="00540068" w:rsidRPr="00EF1C1A">
        <w:t>mean</w:t>
      </w:r>
      <w:r w:rsidR="00CD4936" w:rsidRPr="00EF1C1A">
        <w:t xml:space="preserve"> of</w:t>
      </w:r>
      <w:r w:rsidR="00540068" w:rsidRPr="00EF1C1A">
        <w:t xml:space="preserve"> daily</w:t>
      </w:r>
      <w:r w:rsidR="00CD4936" w:rsidRPr="00EF1C1A">
        <w:t xml:space="preserve"> imported case</w:t>
      </w:r>
      <w:r w:rsidR="00DC0B8A" w:rsidRPr="00EF1C1A">
        <w:t xml:space="preserve"> counts</w:t>
      </w:r>
      <w:r w:rsidR="00CD4936" w:rsidRPr="00EF1C1A">
        <w:t xml:space="preserve"> was 3.</w:t>
      </w:r>
      <w:r w:rsidR="001C5B3F" w:rsidRPr="00EF1C1A">
        <w:t xml:space="preserve">6 </w:t>
      </w:r>
      <w:r w:rsidR="00540068" w:rsidRPr="00EF1C1A">
        <w:t>(averaging across</w:t>
      </w:r>
      <w:r w:rsidR="001C5B3F" w:rsidRPr="00EF1C1A">
        <w:t xml:space="preserve"> the years</w:t>
      </w:r>
      <w:r w:rsidR="00540068" w:rsidRPr="00EF1C1A">
        <w:t xml:space="preserve"> for all ages</w:t>
      </w:r>
      <w:r w:rsidR="00B23155" w:rsidRPr="00EF1C1A">
        <w:t xml:space="preserve"> combined</w:t>
      </w:r>
      <w:r w:rsidR="00540068" w:rsidRPr="00EF1C1A">
        <w:t>)</w:t>
      </w:r>
      <w:r w:rsidR="009363C6" w:rsidRPr="00EF1C1A">
        <w:t xml:space="preserve">; for </w:t>
      </w:r>
      <w:proofErr w:type="spellStart"/>
      <w:r w:rsidR="009363C6" w:rsidRPr="00EF1C1A">
        <w:t>StrongSeed</w:t>
      </w:r>
      <w:proofErr w:type="spellEnd"/>
      <w:r w:rsidR="009363C6" w:rsidRPr="00EF1C1A">
        <w:t xml:space="preserve">, </w:t>
      </w:r>
      <w:r w:rsidR="001C5B3F" w:rsidRPr="00EF1C1A">
        <w:t xml:space="preserve">the corresponding mean was </w:t>
      </w:r>
      <w:r w:rsidR="00163BA4" w:rsidRPr="00EF1C1A">
        <w:t>7.3</w:t>
      </w:r>
      <w:r w:rsidR="009363C6" w:rsidRPr="00EF1C1A">
        <w:t xml:space="preserve">. </w:t>
      </w:r>
    </w:p>
    <w:p w14:paraId="07683870" w14:textId="78FCF31E" w:rsidR="00EB2813" w:rsidRPr="00EF1C1A" w:rsidRDefault="00496271" w:rsidP="00275A69">
      <w:pPr>
        <w:pStyle w:val="Heading2"/>
      </w:pPr>
      <w:bookmarkStart w:id="25" w:name="periodicity-of-migrant-influx"/>
      <w:bookmarkStart w:id="26" w:name="_Toc128398384"/>
      <w:bookmarkEnd w:id="25"/>
      <w:r w:rsidRPr="00EF1C1A">
        <w:t>4.</w:t>
      </w:r>
      <w:r w:rsidR="00C54E4E" w:rsidRPr="00EF1C1A">
        <w:t>3</w:t>
      </w:r>
      <w:r w:rsidRPr="00EF1C1A">
        <w:t xml:space="preserve"> </w:t>
      </w:r>
      <w:r w:rsidR="00146A3C">
        <w:t>Timing</w:t>
      </w:r>
      <w:r w:rsidRPr="00EF1C1A">
        <w:t xml:space="preserve"> of migrant influx</w:t>
      </w:r>
      <w:bookmarkEnd w:id="26"/>
    </w:p>
    <w:p w14:paraId="4449D669" w14:textId="6450F215" w:rsidR="00EB2813" w:rsidRPr="00EF1C1A" w:rsidRDefault="00496271">
      <w:r w:rsidRPr="00EF1C1A">
        <w:t xml:space="preserve">We formulated three hypotheses related to the </w:t>
      </w:r>
      <w:r w:rsidR="003838F6">
        <w:t>timing</w:t>
      </w:r>
      <w:r w:rsidRPr="00EF1C1A">
        <w:t xml:space="preserve"> of migrant influx to Beijing (</w:t>
      </w:r>
      <w:proofErr w:type="spellStart"/>
      <w:r w:rsidRPr="00EF1C1A">
        <w:t>MigConst</w:t>
      </w:r>
      <w:proofErr w:type="spellEnd"/>
      <w:r w:rsidRPr="00EF1C1A">
        <w:t xml:space="preserve">, MigLNY4, and MigLNY12). These hypotheses correspond to different specifications of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(t)</m:t>
        </m:r>
      </m:oMath>
      <w:r w:rsidRPr="00EF1C1A">
        <w:t xml:space="preserve"> in Equation (1) of the main text;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(t)</m:t>
        </m:r>
      </m:oMath>
      <w:r w:rsidRPr="00EF1C1A">
        <w:t xml:space="preserve"> represents the net migration for the </w:t>
      </w:r>
      <m:oMath>
        <m:r>
          <w:rPr>
            <w:rFonts w:ascii="Cambria Math" w:hAnsi="Cambria Math"/>
          </w:rPr>
          <m:t>i</m:t>
        </m:r>
      </m:oMath>
      <w:r w:rsidRPr="00EF1C1A">
        <w:t xml:space="preserve">th age group at time </w:t>
      </w:r>
      <m:oMath>
        <m:r>
          <w:rPr>
            <w:rFonts w:ascii="Cambria Math" w:hAnsi="Cambria Math"/>
          </w:rPr>
          <m:t>t</m:t>
        </m:r>
      </m:oMath>
      <w:r w:rsidRPr="00EF1C1A">
        <w:t>.</w:t>
      </w:r>
    </w:p>
    <w:p w14:paraId="5FB35D0C" w14:textId="77777777" w:rsidR="00EB2813" w:rsidRPr="00EF1C1A" w:rsidRDefault="00496271">
      <w:r w:rsidRPr="00EF1C1A">
        <w:t xml:space="preserve">For </w:t>
      </w:r>
      <w:proofErr w:type="spellStart"/>
      <w:r w:rsidRPr="00EF1C1A">
        <w:t>MigConst</w:t>
      </w:r>
      <w:proofErr w:type="spellEnd"/>
      <w:r w:rsidRPr="00EF1C1A">
        <w:t xml:space="preserve">, </w:t>
      </w:r>
      <m:oMath>
        <m:sSub>
          <m:sSubPr>
            <m:ctrlPr>
              <w:rPr>
                <w:rFonts w:ascii="Cambria Math" w:hAnsi="Cambria Math"/>
              </w:rPr>
            </m:ctrlPr>
          </m:sSubPr>
          <m:e>
            <m:r>
              <w:rPr>
                <w:rFonts w:ascii="Cambria Math" w:hAnsi="Cambria Math"/>
              </w:rPr>
              <m:t>r</m:t>
            </m:r>
          </m:e>
          <m:sub>
            <m:r>
              <w:rPr>
                <w:rFonts w:ascii="Cambria Math" w:hAnsi="Cambria Math"/>
              </w:rPr>
              <m:t>i</m:t>
            </m:r>
          </m:sub>
        </m:sSub>
        <m:r>
          <w:rPr>
            <w:rFonts w:ascii="Cambria Math" w:hAnsi="Cambria Math"/>
          </w:rPr>
          <m:t>(t)</m:t>
        </m:r>
      </m:oMath>
      <w:r w:rsidRPr="00EF1C1A">
        <w:t xml:space="preserve"> was set to 1/365 times the yearly net number of migrants in Group </w:t>
      </w:r>
      <m:oMath>
        <m:r>
          <w:rPr>
            <w:rFonts w:ascii="Cambria Math" w:hAnsi="Cambria Math"/>
          </w:rPr>
          <m:t>i</m:t>
        </m:r>
      </m:oMath>
      <w:r w:rsidRPr="00EF1C1A">
        <w:t xml:space="preserve"> in that year, i.e., constant migration. For MigLNY4, the total number of net migrants for each year was distributed mostly during Weeks 2-4 following the Lunar New Year (LNY) per a gamma distribution (mean = 7 days and SD = 3 days; assuming migration started in Week 2). Using this distribution, the influx peaked at the end of Week 2 and decreased to about 0 at the end of Week 4. The MigLNY12 scenario was similar: Using another gamma distribution (mean = 28 days and SD = 20 days), and the influx started in Week 2, peaked at the end of Week 3, and decreased to about 0 at the end of Week 12.</w:t>
      </w:r>
    </w:p>
    <w:p w14:paraId="7F058C91" w14:textId="16D56798" w:rsidR="00EB2813" w:rsidRPr="00EF1C1A" w:rsidRDefault="00496271" w:rsidP="00275A69">
      <w:pPr>
        <w:pStyle w:val="Heading2"/>
      </w:pPr>
      <w:bookmarkStart w:id="27" w:name="periodically-increased-migrant-mixing"/>
      <w:bookmarkStart w:id="28" w:name="_Toc128398385"/>
      <w:bookmarkEnd w:id="27"/>
      <w:r w:rsidRPr="00EF1C1A">
        <w:lastRenderedPageBreak/>
        <w:t>4.</w:t>
      </w:r>
      <w:r w:rsidR="00C54E4E" w:rsidRPr="00EF1C1A">
        <w:t>4</w:t>
      </w:r>
      <w:r w:rsidRPr="00EF1C1A">
        <w:t xml:space="preserve"> </w:t>
      </w:r>
      <w:r w:rsidR="000B0A42">
        <w:t>Increased</w:t>
      </w:r>
      <w:r w:rsidRPr="00EF1C1A">
        <w:t xml:space="preserve"> migrant mixing</w:t>
      </w:r>
      <w:bookmarkEnd w:id="28"/>
    </w:p>
    <w:p w14:paraId="12EE9682" w14:textId="438BCE78" w:rsidR="00EB2813" w:rsidRPr="00EF1C1A" w:rsidRDefault="00496271">
      <w:r w:rsidRPr="00EF1C1A">
        <w:t xml:space="preserve">We formulated </w:t>
      </w:r>
      <w:r w:rsidR="001E247C" w:rsidRPr="00EF1C1A">
        <w:t>three</w:t>
      </w:r>
      <w:r w:rsidRPr="00EF1C1A">
        <w:t xml:space="preserve"> hypotheses related to increased mixing intensity among migrants during times with high migrant influx (</w:t>
      </w:r>
      <w:proofErr w:type="spellStart"/>
      <w:r w:rsidRPr="00EF1C1A">
        <w:t>Mig</w:t>
      </w:r>
      <w:r w:rsidR="00E305AE">
        <w:t>MixBase</w:t>
      </w:r>
      <w:proofErr w:type="spellEnd"/>
      <w:r w:rsidRPr="00EF1C1A">
        <w:t xml:space="preserve">, </w:t>
      </w:r>
      <w:proofErr w:type="spellStart"/>
      <w:r w:rsidRPr="00EF1C1A">
        <w:t>MigMix</w:t>
      </w:r>
      <w:r w:rsidR="00156D09">
        <w:t>Medium</w:t>
      </w:r>
      <w:proofErr w:type="spellEnd"/>
      <w:r w:rsidRPr="00EF1C1A">
        <w:t xml:space="preserve">, </w:t>
      </w:r>
      <w:r w:rsidR="001E247C" w:rsidRPr="00EF1C1A">
        <w:t xml:space="preserve">and </w:t>
      </w:r>
      <w:proofErr w:type="spellStart"/>
      <w:r w:rsidRPr="00EF1C1A">
        <w:t>MigMix</w:t>
      </w:r>
      <w:r w:rsidR="00156D09">
        <w:t>High</w:t>
      </w:r>
      <w:proofErr w:type="spellEnd"/>
      <w:r w:rsidRPr="00EF1C1A">
        <w:t xml:space="preserve">). These hypotheses correspond to different specifications of </w:t>
      </w:r>
      <m:oMath>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(t)</m:t>
        </m:r>
      </m:oMath>
      <w:r w:rsidRPr="00EF1C1A">
        <w:t xml:space="preserve"> in Equation (3) of the main text.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m:t>
        </m:r>
      </m:oMath>
      <w:r w:rsidRPr="00EF1C1A">
        <w:t xml:space="preserve"> allows the mixing intensity to vary by age groups </w:t>
      </w:r>
      <m:oMath>
        <m:r>
          <w:rPr>
            <w:rFonts w:ascii="Cambria Math" w:hAnsi="Cambria Math"/>
          </w:rPr>
          <m:t>i</m:t>
        </m:r>
      </m:oMath>
      <w:r w:rsidRPr="00EF1C1A">
        <w:t xml:space="preserve"> or over time </w:t>
      </w:r>
      <m:oMath>
        <m:r>
          <w:rPr>
            <w:rFonts w:ascii="Cambria Math" w:hAnsi="Cambria Math"/>
          </w:rPr>
          <m:t>t</m:t>
        </m:r>
      </m:oMath>
      <w:r w:rsidRPr="00EF1C1A">
        <w:t xml:space="preserve">. For this analysis, we set </w:t>
      </w:r>
      <m:oMath>
        <m:sSub>
          <m:sSubPr>
            <m:ctrlPr>
              <w:rPr>
                <w:rFonts w:ascii="Cambria Math" w:hAnsi="Cambria Math"/>
              </w:rPr>
            </m:ctrlPr>
          </m:sSubPr>
          <m:e>
            <m:r>
              <w:rPr>
                <w:rFonts w:ascii="Cambria Math" w:hAnsi="Cambria Math"/>
              </w:rPr>
              <m:t>k</m:t>
            </m:r>
          </m:e>
          <m:sub>
            <m:r>
              <w:rPr>
                <w:rFonts w:ascii="Cambria Math" w:hAnsi="Cambria Math"/>
              </w:rPr>
              <m:t>i</m:t>
            </m:r>
          </m:sub>
        </m:sSub>
        <m:r>
          <w:rPr>
            <w:rFonts w:ascii="Cambria Math" w:hAnsi="Cambria Math"/>
          </w:rPr>
          <m:t>(t)=1</m:t>
        </m:r>
      </m:oMath>
      <w:r w:rsidRPr="00EF1C1A">
        <w:t xml:space="preserve"> for </w:t>
      </w:r>
      <m:oMath>
        <m:r>
          <w:rPr>
            <w:rFonts w:ascii="Cambria Math" w:hAnsi="Cambria Math"/>
          </w:rPr>
          <m:t>i∈{2,4}</m:t>
        </m:r>
      </m:oMath>
      <w:r w:rsidRPr="00EF1C1A">
        <w:t xml:space="preserve"> and for all </w:t>
      </w:r>
      <m:oMath>
        <m:r>
          <w:rPr>
            <w:rFonts w:ascii="Cambria Math" w:hAnsi="Cambria Math"/>
          </w:rPr>
          <m:t>t</m:t>
        </m:r>
      </m:oMath>
      <w:r w:rsidRPr="00EF1C1A">
        <w:t xml:space="preserve"> in all tested hypotheses. The specification of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(t)</m:t>
        </m:r>
      </m:oMath>
      <w:r w:rsidRPr="00EF1C1A">
        <w:t xml:space="preserve"> is detailed in Section 4.</w:t>
      </w:r>
      <w:r w:rsidR="001E247C" w:rsidRPr="00EF1C1A">
        <w:t>6</w:t>
      </w:r>
      <w:r w:rsidRPr="00EF1C1A">
        <w:t xml:space="preserve"> (increased infant mixing) below.</w:t>
      </w:r>
    </w:p>
    <w:p w14:paraId="6610A834" w14:textId="5E05B1F5" w:rsidR="00EB2813" w:rsidRPr="00EF1C1A" w:rsidRDefault="00496271">
      <w:r w:rsidRPr="00EF1C1A">
        <w:t xml:space="preserve">For </w:t>
      </w:r>
      <w:proofErr w:type="spellStart"/>
      <w:r w:rsidRPr="00EF1C1A">
        <w:t>Mig</w:t>
      </w:r>
      <w:r w:rsidR="00E305AE">
        <w:t>MixBase</w:t>
      </w:r>
      <w:proofErr w:type="spellEnd"/>
      <w:r w:rsidRPr="00EF1C1A">
        <w:t xml:space="preserve">, we set </w:t>
      </w:r>
      <m:oMath>
        <m:sSub>
          <m:sSubPr>
            <m:ctrlPr>
              <w:rPr>
                <w:rFonts w:ascii="Cambria Math" w:hAnsi="Cambria Math"/>
              </w:rPr>
            </m:ctrlPr>
          </m:sSubPr>
          <m:e>
            <m:r>
              <w:rPr>
                <w:rFonts w:ascii="Cambria Math" w:hAnsi="Cambria Math"/>
              </w:rPr>
              <m:t>k</m:t>
            </m:r>
          </m:e>
          <m:sub>
            <m:r>
              <w:rPr>
                <w:rFonts w:ascii="Cambria Math" w:hAnsi="Cambria Math"/>
              </w:rPr>
              <m:t>3</m:t>
            </m:r>
          </m:sub>
        </m:sSub>
        <m:r>
          <w:rPr>
            <w:rFonts w:ascii="Cambria Math" w:hAnsi="Cambria Math"/>
          </w:rPr>
          <m:t>(t)=1</m:t>
        </m:r>
      </m:oMath>
      <w:r w:rsidRPr="00EF1C1A">
        <w:t xml:space="preserve"> for all </w:t>
      </w:r>
      <m:oMath>
        <m:r>
          <w:rPr>
            <w:rFonts w:ascii="Cambria Math" w:hAnsi="Cambria Math"/>
          </w:rPr>
          <m:t>t</m:t>
        </m:r>
      </m:oMath>
      <w:r w:rsidRPr="00EF1C1A">
        <w:t xml:space="preserve">, meaning no change over time in mixing intensity among Group 3 (15-50 years; the age group for most migrants). For </w:t>
      </w:r>
      <w:proofErr w:type="spellStart"/>
      <w:r w:rsidRPr="00EF1C1A">
        <w:t>MigMix</w:t>
      </w:r>
      <w:r w:rsidR="00411A54">
        <w:t>Medium</w:t>
      </w:r>
      <w:proofErr w:type="spellEnd"/>
      <w:r w:rsidR="001E247C" w:rsidRPr="00EF1C1A">
        <w:t xml:space="preserve"> and</w:t>
      </w:r>
      <w:r w:rsidRPr="00EF1C1A">
        <w:t xml:space="preserve"> </w:t>
      </w:r>
      <w:proofErr w:type="spellStart"/>
      <w:r w:rsidRPr="00EF1C1A">
        <w:t>MigMix</w:t>
      </w:r>
      <w:r w:rsidR="00411A54">
        <w:t>High</w:t>
      </w:r>
      <w:proofErr w:type="spellEnd"/>
      <w:r w:rsidRPr="00EF1C1A">
        <w:t>,</w:t>
      </w:r>
    </w:p>
    <w:p w14:paraId="68767A0D" w14:textId="24352DD9" w:rsidR="00093AF7" w:rsidRPr="00EF1C1A" w:rsidRDefault="00000000">
      <m:oMathPara>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k</m:t>
                  </m:r>
                </m:e>
                <m:sub>
                  <m:r>
                    <w:rPr>
                      <w:rFonts w:ascii="Cambria Math" w:hAnsi="Cambria Math"/>
                    </w:rPr>
                    <m:t>3</m:t>
                  </m:r>
                </m:sub>
              </m:sSub>
              <m:d>
                <m:dPr>
                  <m:ctrlPr>
                    <w:rPr>
                      <w:rFonts w:ascii="Cambria Math" w:hAnsi="Cambria Math"/>
                      <w:i/>
                    </w:rPr>
                  </m:ctrlPr>
                </m:dPr>
                <m:e>
                  <m:r>
                    <w:rPr>
                      <w:rFonts w:ascii="Cambria Math" w:hAnsi="Cambria Math"/>
                    </w:rPr>
                    <m:t>t</m:t>
                  </m:r>
                </m:e>
              </m:d>
              <m:r>
                <w:rPr>
                  <w:rFonts w:ascii="Cambria Math" w:hAnsi="Cambria Math"/>
                </w:rPr>
                <m:t>=</m:t>
              </m:r>
              <m:d>
                <m:dPr>
                  <m:begChr m:val="{"/>
                  <m:endChr m:val=""/>
                  <m:ctrlPr>
                    <w:rPr>
                      <w:rFonts w:ascii="Cambria Math" w:hAnsi="Cambria Math"/>
                    </w:rPr>
                  </m:ctrlPr>
                </m:dPr>
                <m:e>
                  <m:m>
                    <m:mPr>
                      <m:plcHide m:val="1"/>
                      <m:mcs>
                        <m:mc>
                          <m:mcPr>
                            <m:count m:val="2"/>
                            <m:mcJc m:val="left"/>
                          </m:mcPr>
                        </m:mc>
                      </m:mcs>
                      <m:ctrlPr>
                        <w:rPr>
                          <w:rFonts w:ascii="Cambria Math" w:hAnsi="Cambria Math"/>
                        </w:rPr>
                      </m:ctrlPr>
                    </m:mPr>
                    <m:mr>
                      <m:e>
                        <m:sSub>
                          <m:sSubPr>
                            <m:ctrlPr>
                              <w:rPr>
                                <w:rFonts w:ascii="Cambria Math" w:hAnsi="Cambria Math"/>
                              </w:rPr>
                            </m:ctrlPr>
                          </m:sSubPr>
                          <m:e>
                            <m:r>
                              <w:rPr>
                                <w:rFonts w:ascii="Cambria Math" w:hAnsi="Cambria Math"/>
                              </w:rPr>
                              <m:t>k</m:t>
                            </m:r>
                          </m:e>
                          <m:sub>
                            <m:r>
                              <w:rPr>
                                <w:rFonts w:ascii="Cambria Math" w:hAnsi="Cambria Math"/>
                              </w:rPr>
                              <m:t>0</m:t>
                            </m:r>
                          </m:sub>
                        </m:sSub>
                      </m:e>
                      <m:e>
                        <m:r>
                          <m:rPr>
                            <m:sty m:val="p"/>
                          </m:rPr>
                          <w:rPr>
                            <w:rFonts w:ascii="Cambria Math" w:hAnsi="Cambria Math"/>
                          </w:rPr>
                          <m:t xml:space="preserve">if </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shortly after LNY</m:t>
                            </m:r>
                          </m:sub>
                        </m:sSub>
                      </m:e>
                    </m:mr>
                    <m:mr>
                      <m:e>
                        <m:r>
                          <w:rPr>
                            <w:rFonts w:ascii="Cambria Math" w:hAnsi="Cambria Math"/>
                          </w:rPr>
                          <m:t>1</m:t>
                        </m:r>
                      </m:e>
                      <m:e>
                        <m:r>
                          <m:rPr>
                            <m:sty m:val="p"/>
                          </m:rPr>
                          <w:rPr>
                            <w:rFonts w:ascii="Cambria Math" w:hAnsi="Cambria Math"/>
                          </w:rPr>
                          <m:t xml:space="preserve">if </m:t>
                        </m:r>
                        <m:r>
                          <w:rPr>
                            <w:rFonts w:ascii="Cambria Math" w:hAnsi="Cambria Math"/>
                          </w:rPr>
                          <m:t>t∉</m:t>
                        </m:r>
                        <m:sSub>
                          <m:sSubPr>
                            <m:ctrlPr>
                              <w:rPr>
                                <w:rFonts w:ascii="Cambria Math" w:hAnsi="Cambria Math"/>
                              </w:rPr>
                            </m:ctrlPr>
                          </m:sSubPr>
                          <m:e>
                            <m:r>
                              <w:rPr>
                                <w:rFonts w:ascii="Cambria Math" w:hAnsi="Cambria Math"/>
                              </w:rPr>
                              <m:t>T</m:t>
                            </m:r>
                          </m:e>
                          <m:sub>
                            <m:r>
                              <w:rPr>
                                <w:rFonts w:ascii="Cambria Math" w:hAnsi="Cambria Math"/>
                              </w:rPr>
                              <m:t>shortly after LNY</m:t>
                            </m:r>
                          </m:sub>
                        </m:sSub>
                      </m:e>
                    </m:mr>
                  </m:m>
                </m:e>
              </m:d>
              <m:r>
                <w:rPr>
                  <w:rFonts w:ascii="Cambria Math" w:hAnsi="Cambria Math"/>
                </w:rPr>
                <m:t>.#</m:t>
              </m:r>
              <m:d>
                <m:dPr>
                  <m:ctrlPr>
                    <w:rPr>
                      <w:rFonts w:ascii="Cambria Math" w:hAnsi="Cambria Math"/>
                      <w:i/>
                    </w:rPr>
                  </m:ctrlPr>
                </m:dPr>
                <m:e>
                  <m:r>
                    <w:rPr>
                      <w:rFonts w:ascii="Cambria Math" w:hAnsi="Cambria Math"/>
                    </w:rPr>
                    <m:t>6</m:t>
                  </m:r>
                </m:e>
              </m:d>
            </m:e>
          </m:eqArr>
        </m:oMath>
      </m:oMathPara>
    </w:p>
    <w:p w14:paraId="4E3838C3" w14:textId="29A2D091" w:rsidR="00EB2813" w:rsidRDefault="00496271">
      <w:r w:rsidRPr="00EF1C1A">
        <w:t xml:space="preserve">For </w:t>
      </w:r>
      <w:proofErr w:type="spellStart"/>
      <w:r w:rsidRPr="00EF1C1A">
        <w:t>MigMix</w:t>
      </w:r>
      <w:r w:rsidR="00411A54">
        <w:t>Medium</w:t>
      </w:r>
      <w:proofErr w:type="spellEnd"/>
      <w:r w:rsidRPr="00EF1C1A">
        <w:t xml:space="preserve"> </w:t>
      </w:r>
      <w:r w:rsidR="00506F48" w:rsidRPr="00EF1C1A">
        <w:t xml:space="preserve">and </w:t>
      </w:r>
      <w:proofErr w:type="spellStart"/>
      <w:r w:rsidRPr="00EF1C1A">
        <w:t>MigMix</w:t>
      </w:r>
      <w:r w:rsidR="00411A54">
        <w:t>High</w:t>
      </w:r>
      <w:proofErr w:type="spellEnd"/>
      <w:r w:rsidRPr="00EF1C1A">
        <w:t xml:space="preserve">, </w:t>
      </w:r>
      <m:oMath>
        <m:sSub>
          <m:sSubPr>
            <m:ctrlPr>
              <w:rPr>
                <w:rFonts w:ascii="Cambria Math" w:hAnsi="Cambria Math"/>
              </w:rPr>
            </m:ctrlPr>
          </m:sSubPr>
          <m:e>
            <m:r>
              <w:rPr>
                <w:rFonts w:ascii="Cambria Math" w:hAnsi="Cambria Math"/>
              </w:rPr>
              <m:t>k</m:t>
            </m:r>
          </m:e>
          <m:sub>
            <m:r>
              <w:rPr>
                <w:rFonts w:ascii="Cambria Math" w:hAnsi="Cambria Math"/>
              </w:rPr>
              <m:t>0</m:t>
            </m:r>
          </m:sub>
        </m:sSub>
      </m:oMath>
      <w:r w:rsidR="00506F48" w:rsidRPr="00EF1C1A">
        <w:t>=1.025 and 1.05, respectively</w:t>
      </w:r>
      <w:r w:rsidRPr="00EF1C1A">
        <w:t xml:space="preserve">. </w:t>
      </w:r>
      <m:oMath>
        <m:sSub>
          <m:sSubPr>
            <m:ctrlPr>
              <w:rPr>
                <w:rFonts w:ascii="Cambria Math" w:hAnsi="Cambria Math"/>
              </w:rPr>
            </m:ctrlPr>
          </m:sSubPr>
          <m:e>
            <m:r>
              <w:rPr>
                <w:rFonts w:ascii="Cambria Math" w:hAnsi="Cambria Math"/>
              </w:rPr>
              <m:t>T</m:t>
            </m:r>
          </m:e>
          <m:sub>
            <m:r>
              <w:rPr>
                <w:rFonts w:ascii="Cambria Math" w:hAnsi="Cambria Math"/>
              </w:rPr>
              <m:t>shortly after LNY</m:t>
            </m:r>
          </m:sub>
        </m:sSub>
      </m:oMath>
      <w:r w:rsidRPr="00EF1C1A">
        <w:t xml:space="preserve"> was 7 days after the LNY to March 31st.</w:t>
      </w:r>
    </w:p>
    <w:p w14:paraId="418C1953" w14:textId="6219F2FA" w:rsidR="007F4432" w:rsidRPr="00EF1C1A" w:rsidRDefault="007F4432">
      <w:r>
        <w:t xml:space="preserve">Of note, because the prior of </w:t>
      </w:r>
      <m:oMath>
        <m:sSub>
          <m:sSubPr>
            <m:ctrlPr>
              <w:rPr>
                <w:rFonts w:ascii="Cambria Math" w:hAnsi="Cambria Math"/>
                <w:i/>
              </w:rPr>
            </m:ctrlPr>
          </m:sSubPr>
          <m:e>
            <m:r>
              <w:rPr>
                <w:rFonts w:ascii="Cambria Math" w:hAnsi="Cambria Math"/>
              </w:rPr>
              <m:t>m</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m</m:t>
            </m:r>
          </m:e>
          <m:sub>
            <m:r>
              <w:rPr>
                <w:rFonts w:ascii="Cambria Math" w:hAnsi="Cambria Math"/>
              </w:rPr>
              <m:t>2</m:t>
            </m:r>
          </m:sub>
        </m:sSub>
      </m:oMath>
      <w:r>
        <w:t xml:space="preserve"> </w:t>
      </w:r>
      <w:r w:rsidR="006B33C6">
        <w:t>(</w:t>
      </w:r>
      <w:r>
        <w:t>in Equation (3) of the main text</w:t>
      </w:r>
      <w:r w:rsidR="006B33C6">
        <w:t>)</w:t>
      </w:r>
      <w:r>
        <w:t xml:space="preserve"> ranged from </w:t>
      </w:r>
      <w:r w:rsidR="008E09C1">
        <w:t xml:space="preserve">about </w:t>
      </w:r>
      <w:r>
        <w:t xml:space="preserve">0.90 to 0.95, </w:t>
      </w:r>
      <w:r w:rsidR="002151CC">
        <w:t xml:space="preserve">scaling these values by </w:t>
      </w:r>
      <w:r>
        <w:t xml:space="preserve">1.05 </w:t>
      </w:r>
      <w:r w:rsidR="002151CC">
        <w:t xml:space="preserve">(i.e., </w:t>
      </w:r>
      <m:oMath>
        <m:sSub>
          <m:sSubPr>
            <m:ctrlPr>
              <w:rPr>
                <w:rFonts w:ascii="Cambria Math" w:hAnsi="Cambria Math"/>
              </w:rPr>
            </m:ctrlPr>
          </m:sSubPr>
          <m:e>
            <m:r>
              <w:rPr>
                <w:rFonts w:ascii="Cambria Math" w:hAnsi="Cambria Math"/>
              </w:rPr>
              <m:t>k</m:t>
            </m:r>
          </m:e>
          <m:sub>
            <m:r>
              <w:rPr>
                <w:rFonts w:ascii="Cambria Math" w:hAnsi="Cambria Math"/>
              </w:rPr>
              <m:t>0</m:t>
            </m:r>
          </m:sub>
        </m:sSub>
      </m:oMath>
      <w:r w:rsidR="002151CC">
        <w:t xml:space="preserve">=1.05) </w:t>
      </w:r>
      <w:r>
        <w:t xml:space="preserve">would lead the mixing parameter to approximate 1, </w:t>
      </w:r>
      <w:r w:rsidR="001A09F5">
        <w:t>which represents</w:t>
      </w:r>
      <w:r>
        <w:t xml:space="preserve"> perfect mixing.</w:t>
      </w:r>
      <w:r w:rsidR="00B4632E">
        <w:t xml:space="preserve"> </w:t>
      </w:r>
      <w:r w:rsidR="009053B7">
        <w:t xml:space="preserve">Therefore, </w:t>
      </w:r>
      <w:r w:rsidR="00015FAE">
        <w:t xml:space="preserve">we did not test larger values of </w:t>
      </w:r>
      <m:oMath>
        <m:sSub>
          <m:sSubPr>
            <m:ctrlPr>
              <w:rPr>
                <w:rFonts w:ascii="Cambria Math" w:hAnsi="Cambria Math"/>
              </w:rPr>
            </m:ctrlPr>
          </m:sSubPr>
          <m:e>
            <m:r>
              <w:rPr>
                <w:rFonts w:ascii="Cambria Math" w:hAnsi="Cambria Math"/>
              </w:rPr>
              <m:t>k</m:t>
            </m:r>
          </m:e>
          <m:sub>
            <m:r>
              <w:rPr>
                <w:rFonts w:ascii="Cambria Math" w:hAnsi="Cambria Math"/>
              </w:rPr>
              <m:t>0</m:t>
            </m:r>
          </m:sub>
        </m:sSub>
      </m:oMath>
      <w:r w:rsidR="00015FAE">
        <w:t xml:space="preserve">. The same rationale applies to the setting of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(t)</m:t>
        </m:r>
      </m:oMath>
      <w:r w:rsidR="008C20A1">
        <w:t xml:space="preserve"> in </w:t>
      </w:r>
      <w:r w:rsidR="007D57E0">
        <w:t xml:space="preserve">the increased infant mixing hypotheses. </w:t>
      </w:r>
    </w:p>
    <w:p w14:paraId="5DE66EF3" w14:textId="6A1887C3" w:rsidR="00EB2813" w:rsidRPr="00EF1C1A" w:rsidRDefault="00496271" w:rsidP="00275A69">
      <w:pPr>
        <w:pStyle w:val="Heading2"/>
      </w:pPr>
      <w:bookmarkStart w:id="29" w:name="short-duration-of-maternal-immunity"/>
      <w:bookmarkStart w:id="30" w:name="_Toc128398386"/>
      <w:bookmarkEnd w:id="29"/>
      <w:r w:rsidRPr="00EF1C1A">
        <w:t>4.</w:t>
      </w:r>
      <w:r w:rsidR="00C54E4E" w:rsidRPr="00EF1C1A">
        <w:t>5</w:t>
      </w:r>
      <w:r w:rsidRPr="00EF1C1A">
        <w:t xml:space="preserve"> Short</w:t>
      </w:r>
      <w:r w:rsidR="00F819D0" w:rsidRPr="00EF1C1A">
        <w:t>er</w:t>
      </w:r>
      <w:r w:rsidRPr="00EF1C1A">
        <w:t xml:space="preserve"> duration of maternal immunity</w:t>
      </w:r>
      <w:bookmarkEnd w:id="30"/>
    </w:p>
    <w:p w14:paraId="6C3B3F82" w14:textId="77777777" w:rsidR="00EB2813" w:rsidRPr="00EF1C1A" w:rsidRDefault="00496271">
      <w:r w:rsidRPr="00EF1C1A">
        <w:t xml:space="preserve">We formulated three hypotheses with different mean durations of maternal immunity (Imm180, Imm150, and Imm120). These hypotheses correspond to different specifications of </w:t>
      </w:r>
      <m:oMath>
        <m:r>
          <w:rPr>
            <w:rFonts w:ascii="Cambria Math" w:hAnsi="Cambria Math"/>
          </w:rPr>
          <m:t>p(t)</m:t>
        </m:r>
      </m:oMath>
      <w:r w:rsidRPr="00EF1C1A">
        <w:t xml:space="preserve"> in Equation (1) of the main text. Here </w:t>
      </w:r>
      <m:oMath>
        <m:r>
          <w:rPr>
            <w:rFonts w:ascii="Cambria Math" w:hAnsi="Cambria Math"/>
          </w:rPr>
          <m:t>p(t)</m:t>
        </m:r>
      </m:oMath>
      <w:r w:rsidRPr="00EF1C1A">
        <w:t xml:space="preserve"> is given by a logistic function: </w:t>
      </w:r>
      <m:oMath>
        <m:r>
          <w:rPr>
            <w:rFonts w:ascii="Cambria Math" w:hAnsi="Cambria Math"/>
          </w:rPr>
          <m:t>180-</m:t>
        </m:r>
        <m:f>
          <m:fPr>
            <m:ctrlPr>
              <w:rPr>
                <w:rFonts w:ascii="Cambria Math" w:hAnsi="Cambria Math"/>
              </w:rPr>
            </m:ctrlPr>
          </m:fPr>
          <m:num>
            <m:r>
              <w:rPr>
                <w:rFonts w:ascii="Cambria Math" w:hAnsi="Cambria Math"/>
              </w:rPr>
              <m:t>180-</m:t>
            </m:r>
            <m:sSub>
              <m:sSubPr>
                <m:ctrlPr>
                  <w:rPr>
                    <w:rFonts w:ascii="Cambria Math" w:hAnsi="Cambria Math"/>
                  </w:rPr>
                </m:ctrlPr>
              </m:sSubPr>
              <m:e>
                <m:r>
                  <w:rPr>
                    <w:rFonts w:ascii="Cambria Math" w:hAnsi="Cambria Math"/>
                  </w:rPr>
                  <m:t>p</m:t>
                </m:r>
              </m:e>
              <m:sub>
                <m:r>
                  <w:rPr>
                    <w:rFonts w:ascii="Cambria Math" w:hAnsi="Cambria Math"/>
                  </w:rPr>
                  <m:t>0</m:t>
                </m:r>
              </m:sub>
            </m:sSub>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-0.5(y-2006)</m:t>
                </m:r>
              </m:sup>
            </m:sSup>
          </m:den>
        </m:f>
      </m:oMath>
      <w:r w:rsidRPr="00EF1C1A">
        <w:t xml:space="preserve">. With this formulation, the mean duration of maternal immunity decreases gradually over time from 180 days to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Pr="00EF1C1A">
        <w:t xml:space="preserve"> with the midpoint being the year of 2006. For Imm180, Imm150, and Imm120, </w:t>
      </w:r>
      <m:oMath>
        <m:sSub>
          <m:sSubPr>
            <m:ctrlPr>
              <w:rPr>
                <w:rFonts w:ascii="Cambria Math" w:hAnsi="Cambria Math"/>
              </w:rPr>
            </m:ctrlPr>
          </m:sSubPr>
          <m:e>
            <m:r>
              <w:rPr>
                <w:rFonts w:ascii="Cambria Math" w:hAnsi="Cambria Math"/>
              </w:rPr>
              <m:t>p</m:t>
            </m:r>
          </m:e>
          <m:sub>
            <m:r>
              <w:rPr>
                <w:rFonts w:ascii="Cambria Math" w:hAnsi="Cambria Math"/>
              </w:rPr>
              <m:t>0</m:t>
            </m:r>
          </m:sub>
        </m:sSub>
      </m:oMath>
      <w:r w:rsidRPr="00EF1C1A">
        <w:t xml:space="preserve"> was set to 180, 150, and 120 days, respectively. We set the midpoint to 2006 because the formal establishment of the routine vaccination program was in 1978 [5], and a woman born in that year reached a typical child-bearing age (i.e., 28 years old) in 2006.</w:t>
      </w:r>
    </w:p>
    <w:p w14:paraId="38005942" w14:textId="6F10B540" w:rsidR="00EB2813" w:rsidRPr="00EF1C1A" w:rsidRDefault="00496271" w:rsidP="00275A69">
      <w:pPr>
        <w:pStyle w:val="Heading2"/>
      </w:pPr>
      <w:bookmarkStart w:id="31" w:name="increased-infant-mixing"/>
      <w:bookmarkStart w:id="32" w:name="_Toc128398387"/>
      <w:bookmarkEnd w:id="31"/>
      <w:r w:rsidRPr="00EF1C1A">
        <w:t>4.</w:t>
      </w:r>
      <w:r w:rsidR="00C54E4E" w:rsidRPr="00EF1C1A">
        <w:t>6</w:t>
      </w:r>
      <w:r w:rsidRPr="00EF1C1A">
        <w:t xml:space="preserve"> Increased infant mixing</w:t>
      </w:r>
      <w:bookmarkEnd w:id="32"/>
    </w:p>
    <w:p w14:paraId="006D1CB6" w14:textId="1CD00761" w:rsidR="00EB2813" w:rsidRPr="00EF1C1A" w:rsidRDefault="00496271">
      <w:r w:rsidRPr="00EF1C1A">
        <w:t>We formulated three hypotheses related to the mixing intensity among those &lt;1 year: (</w:t>
      </w:r>
      <w:proofErr w:type="spellStart"/>
      <w:r w:rsidRPr="00EF1C1A">
        <w:t>i</w:t>
      </w:r>
      <w:proofErr w:type="spellEnd"/>
      <w:r w:rsidRPr="00EF1C1A">
        <w:t xml:space="preserve">)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(t)</m:t>
        </m:r>
      </m:oMath>
      <w:r w:rsidRPr="00EF1C1A">
        <w:t xml:space="preserve"> in Equation (3) of the main text was set to 1.0 (</w:t>
      </w:r>
      <w:proofErr w:type="spellStart"/>
      <w:r w:rsidR="00506F48" w:rsidRPr="00EF1C1A">
        <w:t>Infan</w:t>
      </w:r>
      <w:r w:rsidR="00275A69">
        <w:t>t</w:t>
      </w:r>
      <w:r w:rsidR="00E305AE">
        <w:t>MixBase</w:t>
      </w:r>
      <w:proofErr w:type="spellEnd"/>
      <w:r w:rsidRPr="00EF1C1A">
        <w:t xml:space="preserve">); (ii)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(t)</m:t>
        </m:r>
      </m:oMath>
      <w:r w:rsidRPr="00EF1C1A">
        <w:t xml:space="preserve"> set to 1.025 (</w:t>
      </w:r>
      <w:proofErr w:type="spellStart"/>
      <w:r w:rsidR="00506F48" w:rsidRPr="00EF1C1A">
        <w:t>Infan</w:t>
      </w:r>
      <w:r w:rsidR="00275A69">
        <w:t>t</w:t>
      </w:r>
      <w:r w:rsidRPr="00EF1C1A">
        <w:t>Mix</w:t>
      </w:r>
      <w:r w:rsidR="006B33C6">
        <w:t>Medium</w:t>
      </w:r>
      <w:proofErr w:type="spellEnd"/>
      <w:r w:rsidRPr="00EF1C1A">
        <w:t xml:space="preserve">); and (iii) </w:t>
      </w:r>
      <m:oMath>
        <m:sSub>
          <m:sSubPr>
            <m:ctrlPr>
              <w:rPr>
                <w:rFonts w:ascii="Cambria Math" w:hAnsi="Cambria Math"/>
              </w:rPr>
            </m:ctrlPr>
          </m:sSubPr>
          <m:e>
            <m:r>
              <w:rPr>
                <w:rFonts w:ascii="Cambria Math" w:hAnsi="Cambria Math"/>
              </w:rPr>
              <m:t>k</m:t>
            </m:r>
          </m:e>
          <m:sub>
            <m:r>
              <w:rPr>
                <w:rFonts w:ascii="Cambria Math" w:hAnsi="Cambria Math"/>
              </w:rPr>
              <m:t>1</m:t>
            </m:r>
          </m:sub>
        </m:sSub>
        <m:r>
          <w:rPr>
            <w:rFonts w:ascii="Cambria Math" w:hAnsi="Cambria Math"/>
          </w:rPr>
          <m:t>(t)</m:t>
        </m:r>
      </m:oMath>
      <w:r w:rsidRPr="00EF1C1A">
        <w:t xml:space="preserve"> set to 1.05 (</w:t>
      </w:r>
      <w:proofErr w:type="spellStart"/>
      <w:r w:rsidR="00506F48" w:rsidRPr="00EF1C1A">
        <w:t>Infan</w:t>
      </w:r>
      <w:r w:rsidR="00275A69">
        <w:t>t</w:t>
      </w:r>
      <w:r w:rsidRPr="00EF1C1A">
        <w:t>Mix</w:t>
      </w:r>
      <w:r w:rsidR="003C5F66">
        <w:t>High</w:t>
      </w:r>
      <w:proofErr w:type="spellEnd"/>
      <w:r w:rsidRPr="00EF1C1A">
        <w:t>).</w:t>
      </w:r>
    </w:p>
    <w:p w14:paraId="74F31C86" w14:textId="77777777" w:rsidR="00EB2813" w:rsidRPr="00EF1C1A" w:rsidRDefault="00496271">
      <w:pPr>
        <w:pStyle w:val="Heading1"/>
      </w:pPr>
      <w:bookmarkStart w:id="33" w:name="references"/>
      <w:bookmarkStart w:id="34" w:name="_Toc128398388"/>
      <w:bookmarkEnd w:id="33"/>
      <w:r w:rsidRPr="00EF1C1A">
        <w:lastRenderedPageBreak/>
        <w:t>References</w:t>
      </w:r>
      <w:bookmarkEnd w:id="34"/>
    </w:p>
    <w:p w14:paraId="2D9A398B" w14:textId="77777777" w:rsidR="00EB2813" w:rsidRPr="00EF1C1A" w:rsidRDefault="00496271">
      <w:r w:rsidRPr="00EF1C1A">
        <w:t xml:space="preserve">1. Beijing statistical yearbook 2020. Available: </w:t>
      </w:r>
      <w:hyperlink r:id="rId8">
        <w:r w:rsidRPr="00EF1C1A">
          <w:t>http://nj.tjj.beijing.gov.cn/nj/main/2020-tjnj/zk/indexeh.htm</w:t>
        </w:r>
      </w:hyperlink>
    </w:p>
    <w:p w14:paraId="109E4810" w14:textId="77777777" w:rsidR="00EB2813" w:rsidRPr="00EF1C1A" w:rsidRDefault="00496271">
      <w:r w:rsidRPr="00EF1C1A">
        <w:t xml:space="preserve">2. Infant mortality rate in </w:t>
      </w:r>
      <w:proofErr w:type="spellStart"/>
      <w:r w:rsidRPr="00EF1C1A">
        <w:t>beijing</w:t>
      </w:r>
      <w:proofErr w:type="spellEnd"/>
      <w:r w:rsidRPr="00EF1C1A">
        <w:t xml:space="preserve"> from 1949 to 2020. Available: </w:t>
      </w:r>
      <w:hyperlink r:id="rId9">
        <w:r w:rsidRPr="00EF1C1A">
          <w:t>http://www.phic.org.cn/tjsj/wssjzy/jkzb/202104/t20210409_295833.html</w:t>
        </w:r>
      </w:hyperlink>
    </w:p>
    <w:p w14:paraId="233F5AFE" w14:textId="77777777" w:rsidR="00EB2813" w:rsidRPr="00EF1C1A" w:rsidRDefault="00496271">
      <w:r w:rsidRPr="00EF1C1A">
        <w:t xml:space="preserve">3. The sixth census of the people’s republic of china. Available: </w:t>
      </w:r>
      <w:hyperlink r:id="rId10">
        <w:r w:rsidRPr="00EF1C1A">
          <w:t>http://www.stats.gov.cn/tjsj/pcsj/rkpc/5rp/index.htm</w:t>
        </w:r>
      </w:hyperlink>
    </w:p>
    <w:p w14:paraId="50927932" w14:textId="77777777" w:rsidR="00EB2813" w:rsidRPr="00EF1C1A" w:rsidRDefault="00496271">
      <w:r w:rsidRPr="00EF1C1A">
        <w:t xml:space="preserve">4. </w:t>
      </w:r>
      <w:proofErr w:type="spellStart"/>
      <w:r w:rsidRPr="00EF1C1A">
        <w:t>Tabluation</w:t>
      </w:r>
      <w:proofErr w:type="spellEnd"/>
      <w:r w:rsidRPr="00EF1C1A">
        <w:t xml:space="preserve"> of the 2010 population census of </w:t>
      </w:r>
      <w:proofErr w:type="spellStart"/>
      <w:r w:rsidRPr="00EF1C1A">
        <w:t>beijing</w:t>
      </w:r>
      <w:proofErr w:type="spellEnd"/>
      <w:r w:rsidRPr="00EF1C1A">
        <w:t xml:space="preserve"> municipality. Available: </w:t>
      </w:r>
      <w:hyperlink r:id="rId11">
        <w:r w:rsidRPr="00EF1C1A">
          <w:t>http://nj.tjj.beijing.gov.cn/tjnj/rkpc-2010/indexch.htm</w:t>
        </w:r>
      </w:hyperlink>
    </w:p>
    <w:p w14:paraId="1E40527A" w14:textId="77777777" w:rsidR="00EB2813" w:rsidRPr="00EF1C1A" w:rsidRDefault="00496271">
      <w:r w:rsidRPr="00EF1C1A">
        <w:t xml:space="preserve">5. Li J, Lu L, Pang X, Sun M, Ma R, Liu D, et al. A 60-year review on the changing epidemiology of measles in capital </w:t>
      </w:r>
      <w:proofErr w:type="spellStart"/>
      <w:r w:rsidRPr="00EF1C1A">
        <w:t>beijing</w:t>
      </w:r>
      <w:proofErr w:type="spellEnd"/>
      <w:r w:rsidRPr="00EF1C1A">
        <w:t xml:space="preserve">, </w:t>
      </w:r>
      <w:proofErr w:type="spellStart"/>
      <w:r w:rsidRPr="00EF1C1A">
        <w:t>china</w:t>
      </w:r>
      <w:proofErr w:type="spellEnd"/>
      <w:r w:rsidRPr="00EF1C1A">
        <w:t>, 1951-2011. BMC Public Health. 2013;13: 986. doi:</w:t>
      </w:r>
      <w:hyperlink r:id="rId12">
        <w:r w:rsidRPr="00EF1C1A">
          <w:t>10.1186/1471-2458-13-986</w:t>
        </w:r>
      </w:hyperlink>
    </w:p>
    <w:p w14:paraId="24A8C799" w14:textId="77777777" w:rsidR="00EB2813" w:rsidRPr="00EF1C1A" w:rsidRDefault="00496271">
      <w:r w:rsidRPr="00EF1C1A">
        <w:t xml:space="preserve">6. Dai B, Chen Z, Liu Q, Wu T, Guo C, Wang X, et al. Duration of immunity following immunization with live measles vaccine: 15 years of observation in </w:t>
      </w:r>
      <w:proofErr w:type="spellStart"/>
      <w:r w:rsidRPr="00EF1C1A">
        <w:t>zhejiang</w:t>
      </w:r>
      <w:proofErr w:type="spellEnd"/>
      <w:r w:rsidRPr="00EF1C1A">
        <w:t xml:space="preserve"> province, </w:t>
      </w:r>
      <w:proofErr w:type="spellStart"/>
      <w:r w:rsidRPr="00EF1C1A">
        <w:t>china</w:t>
      </w:r>
      <w:proofErr w:type="spellEnd"/>
      <w:r w:rsidRPr="00EF1C1A">
        <w:t xml:space="preserve">. Bulletin of the World Health Organization. 1991;69: 415. </w:t>
      </w:r>
    </w:p>
    <w:p w14:paraId="79FDF1AD" w14:textId="77777777" w:rsidR="00EB2813" w:rsidRDefault="00496271">
      <w:r w:rsidRPr="00EF1C1A">
        <w:t xml:space="preserve">7. Yang Z, Xu J, Wang M, Di B, Tan H, He Q, et al. Measles epidemic from 1951 to 2012 and vaccine effectiveness in </w:t>
      </w:r>
      <w:proofErr w:type="spellStart"/>
      <w:r w:rsidRPr="00EF1C1A">
        <w:t>guangzhou</w:t>
      </w:r>
      <w:proofErr w:type="spellEnd"/>
      <w:r w:rsidRPr="00EF1C1A">
        <w:t xml:space="preserve">, southern </w:t>
      </w:r>
      <w:proofErr w:type="spellStart"/>
      <w:r w:rsidRPr="00EF1C1A">
        <w:t>china</w:t>
      </w:r>
      <w:proofErr w:type="spellEnd"/>
      <w:r w:rsidRPr="00EF1C1A">
        <w:t xml:space="preserve">. Hum </w:t>
      </w:r>
      <w:proofErr w:type="spellStart"/>
      <w:r w:rsidRPr="00EF1C1A">
        <w:t>Vaccin</w:t>
      </w:r>
      <w:proofErr w:type="spellEnd"/>
      <w:r w:rsidRPr="00EF1C1A">
        <w:t xml:space="preserve"> </w:t>
      </w:r>
      <w:proofErr w:type="spellStart"/>
      <w:r w:rsidRPr="00EF1C1A">
        <w:t>Immunother</w:t>
      </w:r>
      <w:proofErr w:type="spellEnd"/>
      <w:r w:rsidRPr="00EF1C1A">
        <w:t xml:space="preserve">. 2014;10: 1091–6. Available: </w:t>
      </w:r>
      <w:hyperlink r:id="rId13">
        <w:r w:rsidRPr="00EF1C1A">
          <w:t>http://www.ncbi.nlm.nih.gov/pubmed/24513504</w:t>
        </w:r>
      </w:hyperlink>
    </w:p>
    <w:p w14:paraId="18AB4CBB" w14:textId="5D913476" w:rsidR="00EF489C" w:rsidRPr="00EF1C1A" w:rsidRDefault="00EF489C">
      <w:r>
        <w:t>8</w:t>
      </w:r>
      <w:r w:rsidRPr="00EF489C">
        <w:t>. Measles vaccines: WHO position paper–April 2017. Available: https://www.who.int/publications-detail-redirect/WER9217.</w:t>
      </w:r>
    </w:p>
    <w:p w14:paraId="1E2D636D" w14:textId="6CEE31E2" w:rsidR="00EB2813" w:rsidRPr="00EF1C1A" w:rsidRDefault="00B53EC4">
      <w:r>
        <w:t>9</w:t>
      </w:r>
      <w:r w:rsidR="00496271" w:rsidRPr="00EF1C1A">
        <w:t xml:space="preserve">. Li J, Lu L, Liu D, Ma R, Wu J, Pang X. Measles epidemiology and elimination measure evaluation in </w:t>
      </w:r>
      <w:proofErr w:type="spellStart"/>
      <w:r w:rsidR="00496271" w:rsidRPr="00EF1C1A">
        <w:t>beijing</w:t>
      </w:r>
      <w:proofErr w:type="spellEnd"/>
      <w:r w:rsidR="00496271" w:rsidRPr="00EF1C1A">
        <w:t>, 2005-2010. Disease Surveillance. 2012; 353–357. doi:</w:t>
      </w:r>
      <w:hyperlink r:id="rId14">
        <w:r w:rsidR="00496271" w:rsidRPr="00EF1C1A">
          <w:t>10.3784/j.issn.1003-9961.2012.5.007</w:t>
        </w:r>
      </w:hyperlink>
    </w:p>
    <w:p w14:paraId="3AA09184" w14:textId="6D9305CB" w:rsidR="008B7932" w:rsidRDefault="001F57E8">
      <w:r>
        <w:t>10</w:t>
      </w:r>
      <w:r w:rsidR="00496271" w:rsidRPr="00EF1C1A">
        <w:t xml:space="preserve">. Ma C, </w:t>
      </w:r>
      <w:proofErr w:type="spellStart"/>
      <w:r w:rsidR="00496271" w:rsidRPr="00EF1C1A">
        <w:t>Rodewald</w:t>
      </w:r>
      <w:proofErr w:type="spellEnd"/>
      <w:r w:rsidR="00496271" w:rsidRPr="00EF1C1A">
        <w:t xml:space="preserve"> L, Hao L, Su Q, Zhang Y, Wen N, et al. Progress toward measles elimination - </w:t>
      </w:r>
      <w:proofErr w:type="spellStart"/>
      <w:r w:rsidR="00496271" w:rsidRPr="00EF1C1A">
        <w:t>china</w:t>
      </w:r>
      <w:proofErr w:type="spellEnd"/>
      <w:r w:rsidR="00496271" w:rsidRPr="00EF1C1A">
        <w:t xml:space="preserve">, </w:t>
      </w:r>
      <w:proofErr w:type="spellStart"/>
      <w:r w:rsidR="00496271" w:rsidRPr="00EF1C1A">
        <w:t>january</w:t>
      </w:r>
      <w:proofErr w:type="spellEnd"/>
      <w:r w:rsidR="00496271" w:rsidRPr="00EF1C1A">
        <w:t xml:space="preserve"> 2013-june 2019. MMWR </w:t>
      </w:r>
      <w:proofErr w:type="spellStart"/>
      <w:r w:rsidR="00496271" w:rsidRPr="00EF1C1A">
        <w:t>Morb</w:t>
      </w:r>
      <w:proofErr w:type="spellEnd"/>
      <w:r w:rsidR="00496271" w:rsidRPr="00EF1C1A">
        <w:t xml:space="preserve"> Mortal </w:t>
      </w:r>
      <w:proofErr w:type="spellStart"/>
      <w:r w:rsidR="00496271" w:rsidRPr="00EF1C1A">
        <w:t>Wkly</w:t>
      </w:r>
      <w:proofErr w:type="spellEnd"/>
      <w:r w:rsidR="00496271" w:rsidRPr="00EF1C1A">
        <w:t xml:space="preserve"> Rep. 2019;68: 1112–1116. doi:</w:t>
      </w:r>
      <w:hyperlink r:id="rId15">
        <w:r w:rsidR="00496271" w:rsidRPr="00EF1C1A">
          <w:t>10.15585/mmwr.mm6848a2</w:t>
        </w:r>
      </w:hyperlink>
    </w:p>
    <w:p w14:paraId="49CC7F05" w14:textId="3A214637" w:rsidR="001A4565" w:rsidRPr="00EF1C1A" w:rsidRDefault="001A4565" w:rsidP="00D35CF3">
      <w:r>
        <w:t>1</w:t>
      </w:r>
      <w:r w:rsidR="001F57E8">
        <w:t>1</w:t>
      </w:r>
      <w:r>
        <w:t xml:space="preserve">. </w:t>
      </w:r>
      <w:r w:rsidR="005D14B9" w:rsidRPr="005D14B9">
        <w:t xml:space="preserve">Yang W, Li J, Shaman J. Characteristics of measles epidemics in China (1951-2004) and implications for elimination: A case study of three key locations. </w:t>
      </w:r>
      <w:proofErr w:type="spellStart"/>
      <w:r w:rsidR="005D14B9" w:rsidRPr="005D14B9">
        <w:t>Plos</w:t>
      </w:r>
      <w:proofErr w:type="spellEnd"/>
      <w:r w:rsidR="005D14B9" w:rsidRPr="005D14B9">
        <w:t xml:space="preserve"> </w:t>
      </w:r>
      <w:proofErr w:type="spellStart"/>
      <w:r w:rsidR="005D14B9" w:rsidRPr="005D14B9">
        <w:t>Comput</w:t>
      </w:r>
      <w:proofErr w:type="spellEnd"/>
      <w:r w:rsidR="005D14B9" w:rsidRPr="005D14B9">
        <w:t xml:space="preserve"> Biol. 2019;15(2</w:t>
      </w:r>
      <w:proofErr w:type="gramStart"/>
      <w:r w:rsidR="005D14B9" w:rsidRPr="005D14B9">
        <w:t>):e</w:t>
      </w:r>
      <w:proofErr w:type="gramEnd"/>
      <w:r w:rsidR="005D14B9" w:rsidRPr="005D14B9">
        <w:t>1006806.</w:t>
      </w:r>
    </w:p>
    <w:p w14:paraId="47DFF0C8" w14:textId="00221114" w:rsidR="00E034C1" w:rsidRDefault="00E034C1" w:rsidP="00E034C1">
      <w:r>
        <w:t>1</w:t>
      </w:r>
      <w:r w:rsidR="001F57E8">
        <w:t>2</w:t>
      </w:r>
      <w:r>
        <w:t xml:space="preserve">. Mistry D, </w:t>
      </w:r>
      <w:proofErr w:type="spellStart"/>
      <w:r>
        <w:t>Litvinova</w:t>
      </w:r>
      <w:proofErr w:type="spellEnd"/>
      <w:r>
        <w:t xml:space="preserve"> M, Pastore y </w:t>
      </w:r>
      <w:proofErr w:type="spellStart"/>
      <w:r>
        <w:t>Piontti</w:t>
      </w:r>
      <w:proofErr w:type="spellEnd"/>
      <w:r>
        <w:t xml:space="preserve"> A, et al. Inferring </w:t>
      </w:r>
      <w:proofErr w:type="spellStart"/>
      <w:r>
        <w:t>highresolution</w:t>
      </w:r>
      <w:proofErr w:type="spellEnd"/>
      <w:r>
        <w:t xml:space="preserve"> human mixing patterns for disease </w:t>
      </w:r>
      <w:proofErr w:type="spellStart"/>
      <w:r>
        <w:t>modeling</w:t>
      </w:r>
      <w:proofErr w:type="spellEnd"/>
      <w:r>
        <w:t xml:space="preserve">. Nat </w:t>
      </w:r>
      <w:proofErr w:type="spellStart"/>
      <w:r>
        <w:t>Commun</w:t>
      </w:r>
      <w:proofErr w:type="spellEnd"/>
      <w:r>
        <w:t>. 2021;12(1):323. doi:10.1038/s41467-020-20544-y</w:t>
      </w:r>
    </w:p>
    <w:p w14:paraId="5449EEF8" w14:textId="6BA50A19" w:rsidR="00EB2813" w:rsidRPr="00EF1C1A" w:rsidRDefault="00EB2813"/>
    <w:sectPr w:rsidR="00EB2813" w:rsidRPr="00EF1C1A" w:rsidSect="008F6852">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7578B" w14:textId="77777777" w:rsidR="00CB4033" w:rsidRDefault="00CB4033">
      <w:pPr>
        <w:spacing w:after="0" w:line="240" w:lineRule="auto"/>
      </w:pPr>
      <w:r>
        <w:separator/>
      </w:r>
    </w:p>
  </w:endnote>
  <w:endnote w:type="continuationSeparator" w:id="0">
    <w:p w14:paraId="6A849D59" w14:textId="77777777" w:rsidR="00CB4033" w:rsidRDefault="00CB40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DBF5BB" w14:textId="77777777" w:rsidR="00CB4033" w:rsidRDefault="00CB4033">
      <w:r>
        <w:separator/>
      </w:r>
    </w:p>
  </w:footnote>
  <w:footnote w:type="continuationSeparator" w:id="0">
    <w:p w14:paraId="035EACDE" w14:textId="77777777" w:rsidR="00CB4033" w:rsidRDefault="00CB40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A40A63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96E44DB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1AA037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8A259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FB44F16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300D23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63C0E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708F3C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2F2178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B0A4A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9531721"/>
    <w:multiLevelType w:val="multilevel"/>
    <w:tmpl w:val="92D4495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653029144">
    <w:abstractNumId w:val="0"/>
  </w:num>
  <w:num w:numId="2" w16cid:durableId="1091507707">
    <w:abstractNumId w:val="1"/>
  </w:num>
  <w:num w:numId="3" w16cid:durableId="1515873804">
    <w:abstractNumId w:val="2"/>
  </w:num>
  <w:num w:numId="4" w16cid:durableId="1969242365">
    <w:abstractNumId w:val="3"/>
  </w:num>
  <w:num w:numId="5" w16cid:durableId="143398609">
    <w:abstractNumId w:val="8"/>
  </w:num>
  <w:num w:numId="6" w16cid:durableId="1504928639">
    <w:abstractNumId w:val="4"/>
  </w:num>
  <w:num w:numId="7" w16cid:durableId="1259487720">
    <w:abstractNumId w:val="5"/>
  </w:num>
  <w:num w:numId="8" w16cid:durableId="1452821266">
    <w:abstractNumId w:val="6"/>
  </w:num>
  <w:num w:numId="9" w16cid:durableId="1370646028">
    <w:abstractNumId w:val="7"/>
  </w:num>
  <w:num w:numId="10" w16cid:durableId="509181916">
    <w:abstractNumId w:val="9"/>
  </w:num>
  <w:num w:numId="11" w16cid:durableId="77629419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s>
  <w:rsids>
    <w:rsidRoot w:val="00590D07"/>
    <w:rsid w:val="00011C8B"/>
    <w:rsid w:val="00015FAE"/>
    <w:rsid w:val="0003011E"/>
    <w:rsid w:val="00031EB8"/>
    <w:rsid w:val="00033205"/>
    <w:rsid w:val="00047CB8"/>
    <w:rsid w:val="0006789A"/>
    <w:rsid w:val="0008473D"/>
    <w:rsid w:val="00093AF7"/>
    <w:rsid w:val="0009401B"/>
    <w:rsid w:val="00095073"/>
    <w:rsid w:val="000A1258"/>
    <w:rsid w:val="000A627C"/>
    <w:rsid w:val="000B0A42"/>
    <w:rsid w:val="000B153B"/>
    <w:rsid w:val="000B1E4A"/>
    <w:rsid w:val="000B3E0C"/>
    <w:rsid w:val="000C5755"/>
    <w:rsid w:val="000D3E48"/>
    <w:rsid w:val="000D5080"/>
    <w:rsid w:val="000E15BF"/>
    <w:rsid w:val="000F2CFF"/>
    <w:rsid w:val="000F3C80"/>
    <w:rsid w:val="001130FF"/>
    <w:rsid w:val="0011711E"/>
    <w:rsid w:val="001247FE"/>
    <w:rsid w:val="001306C1"/>
    <w:rsid w:val="001313A7"/>
    <w:rsid w:val="00133447"/>
    <w:rsid w:val="0014552A"/>
    <w:rsid w:val="00146A3C"/>
    <w:rsid w:val="00153A4E"/>
    <w:rsid w:val="00156D09"/>
    <w:rsid w:val="00157751"/>
    <w:rsid w:val="00163BA4"/>
    <w:rsid w:val="0016517F"/>
    <w:rsid w:val="0018041A"/>
    <w:rsid w:val="001853B8"/>
    <w:rsid w:val="00192240"/>
    <w:rsid w:val="001A09F5"/>
    <w:rsid w:val="001A4270"/>
    <w:rsid w:val="001A4565"/>
    <w:rsid w:val="001A4E01"/>
    <w:rsid w:val="001A58A6"/>
    <w:rsid w:val="001A7544"/>
    <w:rsid w:val="001B51F5"/>
    <w:rsid w:val="001C0771"/>
    <w:rsid w:val="001C4AA7"/>
    <w:rsid w:val="001C5B3F"/>
    <w:rsid w:val="001D0270"/>
    <w:rsid w:val="001E1BB7"/>
    <w:rsid w:val="001E247C"/>
    <w:rsid w:val="001E393D"/>
    <w:rsid w:val="001E6FFF"/>
    <w:rsid w:val="001E7285"/>
    <w:rsid w:val="001F57E8"/>
    <w:rsid w:val="001F64EE"/>
    <w:rsid w:val="00203165"/>
    <w:rsid w:val="002151CC"/>
    <w:rsid w:val="002162D3"/>
    <w:rsid w:val="00217A2D"/>
    <w:rsid w:val="00230700"/>
    <w:rsid w:val="00244F98"/>
    <w:rsid w:val="00254420"/>
    <w:rsid w:val="0025549C"/>
    <w:rsid w:val="00275A69"/>
    <w:rsid w:val="00286D7E"/>
    <w:rsid w:val="00293B0F"/>
    <w:rsid w:val="002A1622"/>
    <w:rsid w:val="002A3F80"/>
    <w:rsid w:val="002B11C2"/>
    <w:rsid w:val="002B380B"/>
    <w:rsid w:val="002C2913"/>
    <w:rsid w:val="002C362D"/>
    <w:rsid w:val="002D095B"/>
    <w:rsid w:val="002D22DD"/>
    <w:rsid w:val="002D507D"/>
    <w:rsid w:val="002F1B6B"/>
    <w:rsid w:val="00302AB1"/>
    <w:rsid w:val="003055AC"/>
    <w:rsid w:val="00314169"/>
    <w:rsid w:val="00315B7F"/>
    <w:rsid w:val="00347F1E"/>
    <w:rsid w:val="00350C72"/>
    <w:rsid w:val="0036131D"/>
    <w:rsid w:val="00365203"/>
    <w:rsid w:val="00366BE9"/>
    <w:rsid w:val="00376BB8"/>
    <w:rsid w:val="003838F6"/>
    <w:rsid w:val="00385E55"/>
    <w:rsid w:val="00396A8A"/>
    <w:rsid w:val="003B3555"/>
    <w:rsid w:val="003B4CF8"/>
    <w:rsid w:val="003C41DE"/>
    <w:rsid w:val="003C5F66"/>
    <w:rsid w:val="003C62B1"/>
    <w:rsid w:val="003D185C"/>
    <w:rsid w:val="003D340F"/>
    <w:rsid w:val="003D4B52"/>
    <w:rsid w:val="003D50E1"/>
    <w:rsid w:val="003F6EB6"/>
    <w:rsid w:val="004019BF"/>
    <w:rsid w:val="0040288E"/>
    <w:rsid w:val="00405B3B"/>
    <w:rsid w:val="00407E14"/>
    <w:rsid w:val="00411A54"/>
    <w:rsid w:val="00416BF5"/>
    <w:rsid w:val="00451B27"/>
    <w:rsid w:val="004649FA"/>
    <w:rsid w:val="00491758"/>
    <w:rsid w:val="00496271"/>
    <w:rsid w:val="004D2A4D"/>
    <w:rsid w:val="004D6304"/>
    <w:rsid w:val="004E29B3"/>
    <w:rsid w:val="004F619A"/>
    <w:rsid w:val="00506F48"/>
    <w:rsid w:val="0051518C"/>
    <w:rsid w:val="005163E3"/>
    <w:rsid w:val="0052378D"/>
    <w:rsid w:val="00524934"/>
    <w:rsid w:val="005257AA"/>
    <w:rsid w:val="00532FAA"/>
    <w:rsid w:val="0053735C"/>
    <w:rsid w:val="00540068"/>
    <w:rsid w:val="00550739"/>
    <w:rsid w:val="00563574"/>
    <w:rsid w:val="00571330"/>
    <w:rsid w:val="0057449B"/>
    <w:rsid w:val="005806B8"/>
    <w:rsid w:val="00590D07"/>
    <w:rsid w:val="00591F43"/>
    <w:rsid w:val="00597D28"/>
    <w:rsid w:val="005A0156"/>
    <w:rsid w:val="005B3049"/>
    <w:rsid w:val="005B6D4B"/>
    <w:rsid w:val="005B7AEB"/>
    <w:rsid w:val="005C1640"/>
    <w:rsid w:val="005C1EE1"/>
    <w:rsid w:val="005C33ED"/>
    <w:rsid w:val="005D0495"/>
    <w:rsid w:val="005D14B9"/>
    <w:rsid w:val="005D71F9"/>
    <w:rsid w:val="005E68FE"/>
    <w:rsid w:val="005F07A1"/>
    <w:rsid w:val="005F5FBF"/>
    <w:rsid w:val="006177BB"/>
    <w:rsid w:val="006202D9"/>
    <w:rsid w:val="00623BF2"/>
    <w:rsid w:val="00646D13"/>
    <w:rsid w:val="00651083"/>
    <w:rsid w:val="00651B0C"/>
    <w:rsid w:val="00655AD4"/>
    <w:rsid w:val="006562C3"/>
    <w:rsid w:val="00671F26"/>
    <w:rsid w:val="00673D82"/>
    <w:rsid w:val="00675952"/>
    <w:rsid w:val="00682D62"/>
    <w:rsid w:val="0068719E"/>
    <w:rsid w:val="0068782C"/>
    <w:rsid w:val="006910BD"/>
    <w:rsid w:val="00696AC8"/>
    <w:rsid w:val="006B33C6"/>
    <w:rsid w:val="006C2E66"/>
    <w:rsid w:val="006C4FEC"/>
    <w:rsid w:val="006D1F4B"/>
    <w:rsid w:val="006D5D6D"/>
    <w:rsid w:val="006E5A65"/>
    <w:rsid w:val="006F0934"/>
    <w:rsid w:val="006F35C8"/>
    <w:rsid w:val="0073161B"/>
    <w:rsid w:val="00746AD6"/>
    <w:rsid w:val="007712E8"/>
    <w:rsid w:val="00771955"/>
    <w:rsid w:val="00784D58"/>
    <w:rsid w:val="00791277"/>
    <w:rsid w:val="007B00C7"/>
    <w:rsid w:val="007B03E7"/>
    <w:rsid w:val="007B55F0"/>
    <w:rsid w:val="007C4A54"/>
    <w:rsid w:val="007C6A7D"/>
    <w:rsid w:val="007D57E0"/>
    <w:rsid w:val="007E2B25"/>
    <w:rsid w:val="007F4432"/>
    <w:rsid w:val="007F78D0"/>
    <w:rsid w:val="008035E8"/>
    <w:rsid w:val="0081249C"/>
    <w:rsid w:val="00823D0E"/>
    <w:rsid w:val="00835537"/>
    <w:rsid w:val="008732E0"/>
    <w:rsid w:val="008740BF"/>
    <w:rsid w:val="008838FB"/>
    <w:rsid w:val="00891FCA"/>
    <w:rsid w:val="008A5F76"/>
    <w:rsid w:val="008A7F92"/>
    <w:rsid w:val="008B05BC"/>
    <w:rsid w:val="008B7932"/>
    <w:rsid w:val="008C20A1"/>
    <w:rsid w:val="008C4595"/>
    <w:rsid w:val="008C5392"/>
    <w:rsid w:val="008D04B9"/>
    <w:rsid w:val="008D6863"/>
    <w:rsid w:val="008E043B"/>
    <w:rsid w:val="008E09C1"/>
    <w:rsid w:val="008E1B29"/>
    <w:rsid w:val="008F0FF2"/>
    <w:rsid w:val="008F5E20"/>
    <w:rsid w:val="008F6852"/>
    <w:rsid w:val="00901F5D"/>
    <w:rsid w:val="009053B7"/>
    <w:rsid w:val="0091489D"/>
    <w:rsid w:val="00914948"/>
    <w:rsid w:val="00914B85"/>
    <w:rsid w:val="009363C6"/>
    <w:rsid w:val="00961B5A"/>
    <w:rsid w:val="00967528"/>
    <w:rsid w:val="00984818"/>
    <w:rsid w:val="00987905"/>
    <w:rsid w:val="009914DE"/>
    <w:rsid w:val="009B1B47"/>
    <w:rsid w:val="009C459A"/>
    <w:rsid w:val="009D65FB"/>
    <w:rsid w:val="009F34C6"/>
    <w:rsid w:val="009F54E1"/>
    <w:rsid w:val="00A21364"/>
    <w:rsid w:val="00A23D37"/>
    <w:rsid w:val="00A309F6"/>
    <w:rsid w:val="00A43E41"/>
    <w:rsid w:val="00A50973"/>
    <w:rsid w:val="00A53F83"/>
    <w:rsid w:val="00A710C6"/>
    <w:rsid w:val="00A75945"/>
    <w:rsid w:val="00A81BC8"/>
    <w:rsid w:val="00A879A9"/>
    <w:rsid w:val="00A91BE4"/>
    <w:rsid w:val="00A9527E"/>
    <w:rsid w:val="00A97466"/>
    <w:rsid w:val="00AA2CB0"/>
    <w:rsid w:val="00AA4191"/>
    <w:rsid w:val="00AA4604"/>
    <w:rsid w:val="00AE0FBB"/>
    <w:rsid w:val="00AE2741"/>
    <w:rsid w:val="00B04EC3"/>
    <w:rsid w:val="00B17C06"/>
    <w:rsid w:val="00B23155"/>
    <w:rsid w:val="00B2575A"/>
    <w:rsid w:val="00B44734"/>
    <w:rsid w:val="00B4632E"/>
    <w:rsid w:val="00B500B4"/>
    <w:rsid w:val="00B5141F"/>
    <w:rsid w:val="00B51679"/>
    <w:rsid w:val="00B53EC4"/>
    <w:rsid w:val="00B56EF5"/>
    <w:rsid w:val="00B62349"/>
    <w:rsid w:val="00B809ED"/>
    <w:rsid w:val="00B8456B"/>
    <w:rsid w:val="00B86845"/>
    <w:rsid w:val="00B86B75"/>
    <w:rsid w:val="00BB0E05"/>
    <w:rsid w:val="00BC3C5F"/>
    <w:rsid w:val="00BC48D5"/>
    <w:rsid w:val="00BC5909"/>
    <w:rsid w:val="00BC64A9"/>
    <w:rsid w:val="00BD4F10"/>
    <w:rsid w:val="00BE6DBF"/>
    <w:rsid w:val="00C015BE"/>
    <w:rsid w:val="00C12E1C"/>
    <w:rsid w:val="00C1490B"/>
    <w:rsid w:val="00C1719F"/>
    <w:rsid w:val="00C271E3"/>
    <w:rsid w:val="00C27455"/>
    <w:rsid w:val="00C36279"/>
    <w:rsid w:val="00C46DEB"/>
    <w:rsid w:val="00C5454D"/>
    <w:rsid w:val="00C54E4E"/>
    <w:rsid w:val="00C614C7"/>
    <w:rsid w:val="00C94549"/>
    <w:rsid w:val="00CA40A4"/>
    <w:rsid w:val="00CB0847"/>
    <w:rsid w:val="00CB4033"/>
    <w:rsid w:val="00CB4F59"/>
    <w:rsid w:val="00CD4936"/>
    <w:rsid w:val="00CF1A82"/>
    <w:rsid w:val="00CF6FD8"/>
    <w:rsid w:val="00D01A49"/>
    <w:rsid w:val="00D05695"/>
    <w:rsid w:val="00D07DDA"/>
    <w:rsid w:val="00D35CF3"/>
    <w:rsid w:val="00D43E27"/>
    <w:rsid w:val="00D45C3E"/>
    <w:rsid w:val="00D54D99"/>
    <w:rsid w:val="00D7029B"/>
    <w:rsid w:val="00D77845"/>
    <w:rsid w:val="00D87D62"/>
    <w:rsid w:val="00D91E50"/>
    <w:rsid w:val="00DB1E54"/>
    <w:rsid w:val="00DB20A3"/>
    <w:rsid w:val="00DC0B8A"/>
    <w:rsid w:val="00DD51C8"/>
    <w:rsid w:val="00DE1DFC"/>
    <w:rsid w:val="00DF14A9"/>
    <w:rsid w:val="00DF74D2"/>
    <w:rsid w:val="00DF7CF4"/>
    <w:rsid w:val="00E034C1"/>
    <w:rsid w:val="00E07677"/>
    <w:rsid w:val="00E119BD"/>
    <w:rsid w:val="00E1341B"/>
    <w:rsid w:val="00E305AE"/>
    <w:rsid w:val="00E308B2"/>
    <w:rsid w:val="00E315A3"/>
    <w:rsid w:val="00E431E0"/>
    <w:rsid w:val="00E46250"/>
    <w:rsid w:val="00E53779"/>
    <w:rsid w:val="00E5674B"/>
    <w:rsid w:val="00E63F46"/>
    <w:rsid w:val="00E90F6F"/>
    <w:rsid w:val="00EB269B"/>
    <w:rsid w:val="00EB2813"/>
    <w:rsid w:val="00EB3A57"/>
    <w:rsid w:val="00EB427B"/>
    <w:rsid w:val="00EB4BA9"/>
    <w:rsid w:val="00EC1689"/>
    <w:rsid w:val="00EC65A2"/>
    <w:rsid w:val="00ED2400"/>
    <w:rsid w:val="00ED7236"/>
    <w:rsid w:val="00EE16B3"/>
    <w:rsid w:val="00EF1C1A"/>
    <w:rsid w:val="00EF489C"/>
    <w:rsid w:val="00F02FFB"/>
    <w:rsid w:val="00F0479B"/>
    <w:rsid w:val="00F305D2"/>
    <w:rsid w:val="00F317E2"/>
    <w:rsid w:val="00F3338B"/>
    <w:rsid w:val="00F421FA"/>
    <w:rsid w:val="00F42819"/>
    <w:rsid w:val="00F43BF3"/>
    <w:rsid w:val="00F459D8"/>
    <w:rsid w:val="00F476B6"/>
    <w:rsid w:val="00F52241"/>
    <w:rsid w:val="00F61E8E"/>
    <w:rsid w:val="00F819D0"/>
    <w:rsid w:val="00F83C9D"/>
    <w:rsid w:val="00FA7CF1"/>
    <w:rsid w:val="00FB357E"/>
    <w:rsid w:val="00FC0E42"/>
    <w:rsid w:val="00FC15DD"/>
    <w:rsid w:val="00FC18C2"/>
    <w:rsid w:val="00FC5C73"/>
    <w:rsid w:val="00FD406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7477C9"/>
  <w15:docId w15:val="{D0154D7C-3E9C-E949-8B51-41FF91571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F47"/>
    <w:pPr>
      <w:spacing w:after="120" w:line="288" w:lineRule="auto"/>
    </w:pPr>
    <w:rPr>
      <w:lang w:val="en-GB"/>
    </w:rPr>
  </w:style>
  <w:style w:type="paragraph" w:styleId="Heading1">
    <w:name w:val="heading 1"/>
    <w:basedOn w:val="Normal"/>
    <w:next w:val="Normal"/>
    <w:link w:val="Heading1Char"/>
    <w:uiPriority w:val="9"/>
    <w:qFormat/>
    <w:rsid w:val="00C72F47"/>
    <w:pPr>
      <w:keepNext/>
      <w:keepLines/>
      <w:spacing w:before="12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autoRedefine/>
    <w:uiPriority w:val="9"/>
    <w:unhideWhenUsed/>
    <w:qFormat/>
    <w:rsid w:val="00275A69"/>
    <w:pPr>
      <w:keepNext/>
      <w:keepLines/>
      <w:spacing w:before="40" w:after="40"/>
      <w:outlineLvl w:val="1"/>
    </w:pPr>
    <w:rPr>
      <w:rFonts w:asciiTheme="majorHAnsi" w:eastAsiaTheme="majorEastAsia" w:hAnsiTheme="majorHAnsi" w:cstheme="majorBidi"/>
      <w:sz w:val="32"/>
      <w:szCs w:val="26"/>
    </w:rPr>
  </w:style>
  <w:style w:type="paragraph" w:styleId="Heading3">
    <w:name w:val="heading 3"/>
    <w:basedOn w:val="Normal"/>
    <w:next w:val="Normal"/>
    <w:link w:val="Heading3Char"/>
    <w:uiPriority w:val="9"/>
    <w:unhideWhenUsed/>
    <w:qFormat/>
    <w:rsid w:val="00A21364"/>
    <w:pPr>
      <w:keepNext/>
      <w:keepLines/>
      <w:spacing w:before="40" w:after="40"/>
      <w:outlineLvl w:val="2"/>
    </w:pPr>
    <w:rPr>
      <w:rFonts w:asciiTheme="majorHAnsi" w:eastAsiaTheme="majorEastAsia" w:hAnsiTheme="majorHAnsi" w:cstheme="majorBidi"/>
      <w:i/>
      <w:sz w:val="28"/>
    </w:rPr>
  </w:style>
  <w:style w:type="paragraph" w:styleId="Heading4">
    <w:name w:val="heading 4"/>
    <w:basedOn w:val="Normal"/>
    <w:next w:val="Normal"/>
    <w:link w:val="Heading4Char"/>
    <w:uiPriority w:val="9"/>
    <w:unhideWhenUsed/>
    <w:qFormat/>
    <w:rsid w:val="00CD59BC"/>
    <w:pPr>
      <w:keepNext/>
      <w:keepLines/>
      <w:spacing w:before="40"/>
      <w:outlineLvl w:val="3"/>
    </w:pPr>
    <w:rPr>
      <w:rFonts w:asciiTheme="majorHAnsi" w:eastAsiaTheme="majorEastAsia" w:hAnsiTheme="majorHAnsi" w:cstheme="majorBidi"/>
      <w:i/>
      <w:iCs/>
      <w:color w:val="000000" w:themeColor="text1"/>
    </w:rPr>
  </w:style>
  <w:style w:type="paragraph" w:styleId="Heading5">
    <w:name w:val="heading 5"/>
    <w:basedOn w:val="Normal"/>
    <w:next w:val="Normal"/>
    <w:link w:val="Heading5Char"/>
    <w:uiPriority w:val="9"/>
    <w:semiHidden/>
    <w:unhideWhenUsed/>
    <w:qFormat/>
    <w:rsid w:val="00BE7859"/>
    <w:pPr>
      <w:keepLines/>
      <w:pageBreakBefore/>
      <w:spacing w:before="40" w:line="20" w:lineRule="exact"/>
      <w:outlineLvl w:val="4"/>
    </w:pPr>
    <w:rPr>
      <w:rFonts w:asciiTheme="majorHAnsi" w:eastAsiaTheme="majorEastAsia" w:hAnsiTheme="majorHAnsi" w:cstheme="majorBidi"/>
      <w:color w:val="FFFFFF" w:themeColor="background1"/>
      <w:sz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semiHidden/>
    <w:rsid w:val="00BE7859"/>
    <w:rPr>
      <w:rFonts w:asciiTheme="majorHAnsi" w:eastAsiaTheme="majorEastAsia" w:hAnsiTheme="majorHAnsi" w:cstheme="majorBidi"/>
      <w:color w:val="FFFFFF" w:themeColor="background1"/>
      <w:sz w:val="10"/>
      <w:lang w:val="en-GB"/>
    </w:rPr>
  </w:style>
  <w:style w:type="character" w:customStyle="1" w:styleId="Heading1Char">
    <w:name w:val="Heading 1 Char"/>
    <w:basedOn w:val="DefaultParagraphFont"/>
    <w:link w:val="Heading1"/>
    <w:uiPriority w:val="9"/>
    <w:rsid w:val="00C72F47"/>
    <w:rPr>
      <w:rFonts w:asciiTheme="majorHAnsi" w:eastAsiaTheme="majorEastAsia" w:hAnsiTheme="majorHAnsi" w:cstheme="majorBidi"/>
      <w:b/>
      <w:sz w:val="32"/>
      <w:szCs w:val="32"/>
      <w:lang w:val="en-GB"/>
    </w:rPr>
  </w:style>
  <w:style w:type="paragraph" w:styleId="Title">
    <w:name w:val="Title"/>
    <w:next w:val="Normal"/>
    <w:link w:val="TitleChar"/>
    <w:uiPriority w:val="10"/>
    <w:qFormat/>
    <w:rsid w:val="004F6870"/>
    <w:pPr>
      <w:contextualSpacing/>
    </w:pPr>
    <w:rPr>
      <w:rFonts w:asciiTheme="majorHAnsi" w:eastAsiaTheme="majorEastAsia" w:hAnsiTheme="majorHAnsi" w:cstheme="majorBidi"/>
      <w:b/>
      <w:spacing w:val="-10"/>
      <w:kern w:val="28"/>
      <w:sz w:val="44"/>
      <w:szCs w:val="56"/>
      <w:lang w:val="en-GB"/>
    </w:rPr>
  </w:style>
  <w:style w:type="character" w:customStyle="1" w:styleId="TitleChar">
    <w:name w:val="Title Char"/>
    <w:basedOn w:val="DefaultParagraphFont"/>
    <w:link w:val="Title"/>
    <w:uiPriority w:val="10"/>
    <w:rsid w:val="004F6870"/>
    <w:rPr>
      <w:rFonts w:asciiTheme="majorHAnsi" w:eastAsiaTheme="majorEastAsia" w:hAnsiTheme="majorHAnsi" w:cstheme="majorBidi"/>
      <w:b/>
      <w:spacing w:val="-10"/>
      <w:kern w:val="28"/>
      <w:sz w:val="44"/>
      <w:szCs w:val="56"/>
      <w:lang w:val="en-GB"/>
    </w:rPr>
  </w:style>
  <w:style w:type="character" w:customStyle="1" w:styleId="Heading2Char">
    <w:name w:val="Heading 2 Char"/>
    <w:basedOn w:val="DefaultParagraphFont"/>
    <w:link w:val="Heading2"/>
    <w:uiPriority w:val="9"/>
    <w:rsid w:val="00275A69"/>
    <w:rPr>
      <w:rFonts w:asciiTheme="majorHAnsi" w:eastAsiaTheme="majorEastAsia" w:hAnsiTheme="majorHAnsi" w:cstheme="majorBidi"/>
      <w:sz w:val="32"/>
      <w:szCs w:val="26"/>
      <w:lang w:val="en-GB"/>
    </w:rPr>
  </w:style>
  <w:style w:type="character" w:customStyle="1" w:styleId="Heading3Char">
    <w:name w:val="Heading 3 Char"/>
    <w:basedOn w:val="DefaultParagraphFont"/>
    <w:link w:val="Heading3"/>
    <w:uiPriority w:val="9"/>
    <w:rsid w:val="00A21364"/>
    <w:rPr>
      <w:rFonts w:asciiTheme="majorHAnsi" w:eastAsiaTheme="majorEastAsia" w:hAnsiTheme="majorHAnsi" w:cstheme="majorBidi"/>
      <w:i/>
      <w:sz w:val="28"/>
      <w:lang w:val="en-GB"/>
    </w:rPr>
  </w:style>
  <w:style w:type="character" w:customStyle="1" w:styleId="Heading4Char">
    <w:name w:val="Heading 4 Char"/>
    <w:basedOn w:val="DefaultParagraphFont"/>
    <w:link w:val="Heading4"/>
    <w:uiPriority w:val="9"/>
    <w:rsid w:val="00CD59BC"/>
    <w:rPr>
      <w:rFonts w:asciiTheme="majorHAnsi" w:eastAsiaTheme="majorEastAsia" w:hAnsiTheme="majorHAnsi" w:cstheme="majorBidi"/>
      <w:i/>
      <w:iCs/>
      <w:color w:val="000000" w:themeColor="text1"/>
      <w:lang w:val="en-GB"/>
    </w:rPr>
  </w:style>
  <w:style w:type="paragraph" w:customStyle="1" w:styleId="SourceCode">
    <w:name w:val="Source Code"/>
    <w:basedOn w:val="Normal"/>
    <w:pPr>
      <w:shd w:val="clear" w:color="auto" w:fill="F8F8F8"/>
      <w:wordWrap w:val="0"/>
    </w:pPr>
  </w:style>
  <w:style w:type="character" w:customStyle="1" w:styleId="KeywordTok">
    <w:name w:val="KeywordTok"/>
    <w:rPr>
      <w:b/>
      <w:color w:val="204A87"/>
      <w:shd w:val="clear" w:color="auto" w:fill="F8F8F8"/>
    </w:rPr>
  </w:style>
  <w:style w:type="character" w:customStyle="1" w:styleId="DataTypeTok">
    <w:name w:val="DataTypeTok"/>
    <w:rPr>
      <w:color w:val="204A87"/>
      <w:shd w:val="clear" w:color="auto" w:fill="F8F8F8"/>
    </w:rPr>
  </w:style>
  <w:style w:type="character" w:customStyle="1" w:styleId="DecValTok">
    <w:name w:val="DecValTok"/>
    <w:rPr>
      <w:color w:val="0000CF"/>
      <w:shd w:val="clear" w:color="auto" w:fill="F8F8F8"/>
    </w:rPr>
  </w:style>
  <w:style w:type="character" w:customStyle="1" w:styleId="BaseNTok">
    <w:name w:val="BaseNTok"/>
    <w:rPr>
      <w:color w:val="0000CF"/>
      <w:shd w:val="clear" w:color="auto" w:fill="F8F8F8"/>
    </w:rPr>
  </w:style>
  <w:style w:type="character" w:customStyle="1" w:styleId="FloatTok">
    <w:name w:val="FloatTok"/>
    <w:rPr>
      <w:color w:val="0000CF"/>
      <w:shd w:val="clear" w:color="auto" w:fill="F8F8F8"/>
    </w:rPr>
  </w:style>
  <w:style w:type="character" w:customStyle="1" w:styleId="ConstantTok">
    <w:name w:val="ConstantTok"/>
    <w:rPr>
      <w:color w:val="000000"/>
      <w:shd w:val="clear" w:color="auto" w:fill="F8F8F8"/>
    </w:rPr>
  </w:style>
  <w:style w:type="character" w:customStyle="1" w:styleId="CharTok">
    <w:name w:val="CharTok"/>
    <w:rPr>
      <w:color w:val="4E9A06"/>
      <w:shd w:val="clear" w:color="auto" w:fill="F8F8F8"/>
    </w:rPr>
  </w:style>
  <w:style w:type="character" w:customStyle="1" w:styleId="SpecialCharTok">
    <w:name w:val="SpecialCharTok"/>
    <w:rPr>
      <w:color w:val="000000"/>
      <w:shd w:val="clear" w:color="auto" w:fill="F8F8F8"/>
    </w:rPr>
  </w:style>
  <w:style w:type="character" w:customStyle="1" w:styleId="StringTok">
    <w:name w:val="StringTok"/>
    <w:rPr>
      <w:color w:val="4E9A06"/>
      <w:shd w:val="clear" w:color="auto" w:fill="F8F8F8"/>
    </w:rPr>
  </w:style>
  <w:style w:type="character" w:customStyle="1" w:styleId="VerbatimStringTok">
    <w:name w:val="VerbatimStringTok"/>
    <w:rPr>
      <w:color w:val="4E9A06"/>
      <w:shd w:val="clear" w:color="auto" w:fill="F8F8F8"/>
    </w:rPr>
  </w:style>
  <w:style w:type="character" w:customStyle="1" w:styleId="SpecialStringTok">
    <w:name w:val="SpecialStringTok"/>
    <w:rPr>
      <w:color w:val="4E9A06"/>
      <w:shd w:val="clear" w:color="auto" w:fill="F8F8F8"/>
    </w:rPr>
  </w:style>
  <w:style w:type="character" w:customStyle="1" w:styleId="ImportTok">
    <w:name w:val="ImportTok"/>
    <w:rPr>
      <w:shd w:val="clear" w:color="auto" w:fill="F8F8F8"/>
    </w:rPr>
  </w:style>
  <w:style w:type="character" w:customStyle="1" w:styleId="CommentTok">
    <w:name w:val="CommentTok"/>
    <w:rPr>
      <w:i/>
      <w:color w:val="8F5902"/>
      <w:shd w:val="clear" w:color="auto" w:fill="F8F8F8"/>
    </w:rPr>
  </w:style>
  <w:style w:type="character" w:customStyle="1" w:styleId="DocumentationTok">
    <w:name w:val="DocumentationTok"/>
    <w:rPr>
      <w:b/>
      <w:i/>
      <w:color w:val="8F5902"/>
      <w:shd w:val="clear" w:color="auto" w:fill="F8F8F8"/>
    </w:rPr>
  </w:style>
  <w:style w:type="character" w:customStyle="1" w:styleId="AnnotationTok">
    <w:name w:val="AnnotationTok"/>
    <w:rPr>
      <w:b/>
      <w:i/>
      <w:color w:val="8F5902"/>
      <w:shd w:val="clear" w:color="auto" w:fill="F8F8F8"/>
    </w:rPr>
  </w:style>
  <w:style w:type="character" w:customStyle="1" w:styleId="CommentVarTok">
    <w:name w:val="CommentVarTok"/>
    <w:rPr>
      <w:b/>
      <w:i/>
      <w:color w:val="8F5902"/>
      <w:shd w:val="clear" w:color="auto" w:fill="F8F8F8"/>
    </w:rPr>
  </w:style>
  <w:style w:type="character" w:customStyle="1" w:styleId="OtherTok">
    <w:name w:val="OtherTok"/>
    <w:rPr>
      <w:color w:val="8F5902"/>
      <w:shd w:val="clear" w:color="auto" w:fill="F8F8F8"/>
    </w:rPr>
  </w:style>
  <w:style w:type="character" w:customStyle="1" w:styleId="FunctionTok">
    <w:name w:val="FunctionTok"/>
    <w:rPr>
      <w:color w:val="000000"/>
      <w:shd w:val="clear" w:color="auto" w:fill="F8F8F8"/>
    </w:rPr>
  </w:style>
  <w:style w:type="character" w:customStyle="1" w:styleId="VariableTok">
    <w:name w:val="VariableTok"/>
    <w:rPr>
      <w:color w:val="000000"/>
      <w:shd w:val="clear" w:color="auto" w:fill="F8F8F8"/>
    </w:rPr>
  </w:style>
  <w:style w:type="character" w:customStyle="1" w:styleId="ControlFlowTok">
    <w:name w:val="ControlFlowTok"/>
    <w:rPr>
      <w:b/>
      <w:color w:val="204A87"/>
      <w:shd w:val="clear" w:color="auto" w:fill="F8F8F8"/>
    </w:rPr>
  </w:style>
  <w:style w:type="character" w:customStyle="1" w:styleId="OperatorTok">
    <w:name w:val="OperatorTok"/>
    <w:rPr>
      <w:b/>
      <w:color w:val="CE5C00"/>
      <w:shd w:val="clear" w:color="auto" w:fill="F8F8F8"/>
    </w:rPr>
  </w:style>
  <w:style w:type="character" w:customStyle="1" w:styleId="BuiltInTok">
    <w:name w:val="BuiltInTok"/>
    <w:rPr>
      <w:shd w:val="clear" w:color="auto" w:fill="F8F8F8"/>
    </w:rPr>
  </w:style>
  <w:style w:type="character" w:customStyle="1" w:styleId="ExtensionTok">
    <w:name w:val="ExtensionTok"/>
    <w:rPr>
      <w:shd w:val="clear" w:color="auto" w:fill="F8F8F8"/>
    </w:rPr>
  </w:style>
  <w:style w:type="character" w:customStyle="1" w:styleId="PreprocessorTok">
    <w:name w:val="PreprocessorTok"/>
    <w:rPr>
      <w:i/>
      <w:color w:val="8F5902"/>
      <w:shd w:val="clear" w:color="auto" w:fill="F8F8F8"/>
    </w:rPr>
  </w:style>
  <w:style w:type="character" w:customStyle="1" w:styleId="AttributeTok">
    <w:name w:val="AttributeTok"/>
    <w:rPr>
      <w:color w:val="C4A000"/>
      <w:shd w:val="clear" w:color="auto" w:fill="F8F8F8"/>
    </w:rPr>
  </w:style>
  <w:style w:type="character" w:customStyle="1" w:styleId="RegionMarkerTok">
    <w:name w:val="RegionMarkerTok"/>
    <w:rPr>
      <w:shd w:val="clear" w:color="auto" w:fill="F8F8F8"/>
    </w:rPr>
  </w:style>
  <w:style w:type="character" w:customStyle="1" w:styleId="InformationTok">
    <w:name w:val="InformationTok"/>
    <w:rPr>
      <w:b/>
      <w:i/>
      <w:color w:val="8F5902"/>
      <w:shd w:val="clear" w:color="auto" w:fill="F8F8F8"/>
    </w:rPr>
  </w:style>
  <w:style w:type="character" w:customStyle="1" w:styleId="WarningTok">
    <w:name w:val="WarningTok"/>
    <w:rPr>
      <w:b/>
      <w:i/>
      <w:color w:val="8F5902"/>
      <w:shd w:val="clear" w:color="auto" w:fill="F8F8F8"/>
    </w:rPr>
  </w:style>
  <w:style w:type="character" w:customStyle="1" w:styleId="AlertTok">
    <w:name w:val="AlertTok"/>
    <w:rPr>
      <w:color w:val="EF2929"/>
      <w:shd w:val="clear" w:color="auto" w:fill="F8F8F8"/>
    </w:rPr>
  </w:style>
  <w:style w:type="character" w:customStyle="1" w:styleId="ErrorTok">
    <w:name w:val="ErrorTok"/>
    <w:rPr>
      <w:b/>
      <w:color w:val="A40000"/>
      <w:shd w:val="clear" w:color="auto" w:fill="F8F8F8"/>
    </w:rPr>
  </w:style>
  <w:style w:type="character" w:customStyle="1" w:styleId="NormalTok">
    <w:name w:val="NormalTok"/>
    <w:rPr>
      <w:shd w:val="clear" w:color="auto" w:fill="F8F8F8"/>
    </w:rPr>
  </w:style>
  <w:style w:type="paragraph" w:styleId="TOC1">
    <w:name w:val="toc 1"/>
    <w:basedOn w:val="Normal"/>
    <w:next w:val="Normal"/>
    <w:autoRedefine/>
    <w:uiPriority w:val="39"/>
    <w:unhideWhenUsed/>
    <w:rsid w:val="002D22DD"/>
    <w:pPr>
      <w:spacing w:after="100"/>
    </w:pPr>
  </w:style>
  <w:style w:type="paragraph" w:styleId="TOC2">
    <w:name w:val="toc 2"/>
    <w:basedOn w:val="Normal"/>
    <w:next w:val="Normal"/>
    <w:autoRedefine/>
    <w:uiPriority w:val="39"/>
    <w:unhideWhenUsed/>
    <w:rsid w:val="002D22DD"/>
    <w:pPr>
      <w:spacing w:after="100"/>
      <w:ind w:left="240"/>
    </w:pPr>
  </w:style>
  <w:style w:type="paragraph" w:styleId="TOC3">
    <w:name w:val="toc 3"/>
    <w:basedOn w:val="Normal"/>
    <w:next w:val="Normal"/>
    <w:autoRedefine/>
    <w:uiPriority w:val="39"/>
    <w:unhideWhenUsed/>
    <w:rsid w:val="002D22DD"/>
    <w:pPr>
      <w:spacing w:after="100"/>
      <w:ind w:left="480"/>
    </w:pPr>
  </w:style>
  <w:style w:type="character" w:styleId="Hyperlink">
    <w:name w:val="Hyperlink"/>
    <w:basedOn w:val="DefaultParagraphFont"/>
    <w:uiPriority w:val="99"/>
    <w:unhideWhenUsed/>
    <w:rsid w:val="002D22DD"/>
    <w:rPr>
      <w:color w:val="0563C1" w:themeColor="hyperlink"/>
      <w:u w:val="single"/>
    </w:rPr>
  </w:style>
  <w:style w:type="paragraph" w:styleId="Revision">
    <w:name w:val="Revision"/>
    <w:hidden/>
    <w:uiPriority w:val="99"/>
    <w:semiHidden/>
    <w:rsid w:val="00DF14A9"/>
    <w:rPr>
      <w:lang w:val="en-GB"/>
    </w:rPr>
  </w:style>
  <w:style w:type="character" w:styleId="PlaceholderText">
    <w:name w:val="Placeholder Text"/>
    <w:basedOn w:val="DefaultParagraphFont"/>
    <w:uiPriority w:val="99"/>
    <w:semiHidden/>
    <w:rsid w:val="00E63F46"/>
    <w:rPr>
      <w:color w:val="808080"/>
    </w:rPr>
  </w:style>
  <w:style w:type="paragraph" w:styleId="BalloonText">
    <w:name w:val="Balloon Text"/>
    <w:basedOn w:val="Normal"/>
    <w:link w:val="BalloonTextChar"/>
    <w:uiPriority w:val="99"/>
    <w:semiHidden/>
    <w:unhideWhenUsed/>
    <w:rsid w:val="00BC3C5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C3C5F"/>
    <w:rPr>
      <w:rFonts w:ascii="Times New Roman" w:hAnsi="Times New Roman" w:cs="Times New Roman"/>
      <w:sz w:val="18"/>
      <w:szCs w:val="18"/>
      <w:lang w:val="en-GB"/>
    </w:rPr>
  </w:style>
  <w:style w:type="character" w:styleId="LineNumber">
    <w:name w:val="line number"/>
    <w:basedOn w:val="DefaultParagraphFont"/>
    <w:uiPriority w:val="99"/>
    <w:semiHidden/>
    <w:unhideWhenUsed/>
    <w:rsid w:val="008F68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j.tjj.beijing.gov.cn/nj/main/2020-tjnj/zk/indexeh.htm" TargetMode="External"/><Relationship Id="rId13" Type="http://schemas.openxmlformats.org/officeDocument/2006/relationships/hyperlink" Target="http://www.ncbi.nlm.nih.gov/pubmed/24513504"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186/1471-2458-13-986"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nj.tjj.beijing.gov.cn/tjnj/rkpc-2010/indexch.htm" TargetMode="External"/><Relationship Id="rId5" Type="http://schemas.openxmlformats.org/officeDocument/2006/relationships/webSettings" Target="webSettings.xml"/><Relationship Id="rId15" Type="http://schemas.openxmlformats.org/officeDocument/2006/relationships/hyperlink" Target="https://doi.org/10.15585/mmwr.mm6848a2" TargetMode="External"/><Relationship Id="rId10" Type="http://schemas.openxmlformats.org/officeDocument/2006/relationships/hyperlink" Target="http://www.stats.gov.cn/tjsj/pcsj/rkpc/5rp/index.htm" TargetMode="External"/><Relationship Id="rId4" Type="http://schemas.openxmlformats.org/officeDocument/2006/relationships/settings" Target="settings.xml"/><Relationship Id="rId9" Type="http://schemas.openxmlformats.org/officeDocument/2006/relationships/hyperlink" Target="http://www.phic.org.cn/tjsj/wssjzy/jkzb/202104/t20210409_295833.html" TargetMode="External"/><Relationship Id="rId14" Type="http://schemas.openxmlformats.org/officeDocument/2006/relationships/hyperlink" Target="https://doi.org/10.3784/j.issn.1003-9961.2012.5.0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F0626E-3D27-C140-919D-3E973885C3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7</Pages>
  <Words>2693</Words>
  <Characters>15351</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Supplementary Materials - Determinants of measles persistence in Beijing, China: A modeling study</vt:lpstr>
    </vt:vector>
  </TitlesOfParts>
  <Company/>
  <LinksUpToDate>false</LinksUpToDate>
  <CharactersWithSpaces>18008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Materials - Determinants of measles persistence in Beijing, China: A modeling study</dc:title>
  <dc:creator>Chen Jianjiu</dc:creator>
  <cp:lastModifiedBy>Jianjiu Chen</cp:lastModifiedBy>
  <cp:revision>4</cp:revision>
  <dcterms:created xsi:type="dcterms:W3CDTF">2023-06-30T21:16:00Z</dcterms:created>
  <dcterms:modified xsi:type="dcterms:W3CDTF">2023-06-30T21:19:00Z</dcterms:modified>
</cp:coreProperties>
</file>