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p>
    <w:bookmarkStart w:id="20" w:name="descriptive-statistics"/>
    <w:p>
      <w:pPr>
        <w:pStyle w:val="Heading2"/>
      </w:pPr>
      <w:r>
        <w:t xml:space="preserve">Descriptive Statistics</w:t>
      </w:r>
    </w:p>
    <w:p>
      <w:pPr>
        <w:pStyle w:val="FirstParagraph"/>
      </w:pPr>
      <w:r>
        <w:t xml:space="preserve">Over the course of 8 years, Nakuru County reported the highest number of brucellosis cases in humans, totaling 309,011. Kisii County followed closely with 267,337 cases. In contrast, Lamu County had the lowest number of cases at 885. Table 1 showcases the top 10 counties with the highest human brucellosis cases.</w:t>
      </w:r>
    </w:p>
    <w:p>
      <w:pPr>
        <w:pStyle w:val="BodyText"/>
      </w:pPr>
      <w:r>
        <w:t xml:space="preserve">Top 10 counties with the highest human brucellosis cases</w:t>
      </w:r>
    </w:p>
    <w:p>
      <w:pPr>
        <w:pStyle w:val="BodyText"/>
      </w:pPr>
      <w:r>
        <w:t xml:space="preserve">county</w:t>
      </w:r>
    </w:p>
    <w:p>
      <w:pPr>
        <w:pStyle w:val="BodyText"/>
      </w:pPr>
      <w:r>
        <w:t xml:space="preserve">Human Cases</w:t>
      </w:r>
    </w:p>
    <w:p>
      <w:pPr>
        <w:pStyle w:val="BodyText"/>
      </w:pPr>
      <w:r>
        <w:t xml:space="preserve">Nakuru</w:t>
      </w:r>
    </w:p>
    <w:p>
      <w:pPr>
        <w:pStyle w:val="BodyText"/>
      </w:pPr>
      <w:r>
        <w:t xml:space="preserve">309,011</w:t>
      </w:r>
    </w:p>
    <w:p>
      <w:pPr>
        <w:pStyle w:val="BodyText"/>
      </w:pPr>
      <w:r>
        <w:t xml:space="preserve">Kisii</w:t>
      </w:r>
    </w:p>
    <w:p>
      <w:pPr>
        <w:pStyle w:val="BodyText"/>
      </w:pPr>
      <w:r>
        <w:t xml:space="preserve">267,337</w:t>
      </w:r>
    </w:p>
    <w:p>
      <w:pPr>
        <w:pStyle w:val="BodyText"/>
      </w:pPr>
      <w:r>
        <w:t xml:space="preserve">Bungoma</w:t>
      </w:r>
    </w:p>
    <w:p>
      <w:pPr>
        <w:pStyle w:val="BodyText"/>
      </w:pPr>
      <w:r>
        <w:t xml:space="preserve">260,854</w:t>
      </w:r>
    </w:p>
    <w:p>
      <w:pPr>
        <w:pStyle w:val="BodyText"/>
      </w:pPr>
      <w:r>
        <w:t xml:space="preserve">Nandi</w:t>
      </w:r>
    </w:p>
    <w:p>
      <w:pPr>
        <w:pStyle w:val="BodyText"/>
      </w:pPr>
      <w:r>
        <w:t xml:space="preserve">239,700</w:t>
      </w:r>
    </w:p>
    <w:p>
      <w:pPr>
        <w:pStyle w:val="BodyText"/>
      </w:pPr>
      <w:r>
        <w:t xml:space="preserve">Uasin Gishu</w:t>
      </w:r>
    </w:p>
    <w:p>
      <w:pPr>
        <w:pStyle w:val="BodyText"/>
      </w:pPr>
      <w:r>
        <w:t xml:space="preserve">229,090</w:t>
      </w:r>
    </w:p>
    <w:p>
      <w:pPr>
        <w:pStyle w:val="BodyText"/>
      </w:pPr>
      <w:r>
        <w:t xml:space="preserve">Trans Nzoia</w:t>
      </w:r>
    </w:p>
    <w:p>
      <w:pPr>
        <w:pStyle w:val="BodyText"/>
      </w:pPr>
      <w:r>
        <w:t xml:space="preserve">198,690</w:t>
      </w:r>
    </w:p>
    <w:p>
      <w:pPr>
        <w:pStyle w:val="BodyText"/>
      </w:pPr>
      <w:r>
        <w:t xml:space="preserve">West Pokot</w:t>
      </w:r>
    </w:p>
    <w:p>
      <w:pPr>
        <w:pStyle w:val="BodyText"/>
      </w:pPr>
      <w:r>
        <w:t xml:space="preserve">198,556</w:t>
      </w:r>
    </w:p>
    <w:p>
      <w:pPr>
        <w:pStyle w:val="BodyText"/>
      </w:pPr>
      <w:r>
        <w:t xml:space="preserve">Kericho</w:t>
      </w:r>
    </w:p>
    <w:p>
      <w:pPr>
        <w:pStyle w:val="BodyText"/>
      </w:pPr>
      <w:r>
        <w:t xml:space="preserve">175,600</w:t>
      </w:r>
    </w:p>
    <w:p>
      <w:pPr>
        <w:pStyle w:val="BodyText"/>
      </w:pPr>
      <w:r>
        <w:t xml:space="preserve">Narok</w:t>
      </w:r>
    </w:p>
    <w:p>
      <w:pPr>
        <w:pStyle w:val="BodyText"/>
      </w:pPr>
      <w:r>
        <w:t xml:space="preserve">166,509</w:t>
      </w:r>
    </w:p>
    <w:p>
      <w:pPr>
        <w:pStyle w:val="BodyText"/>
      </w:pPr>
      <w:r>
        <w:t xml:space="preserve">Elgeyo Marakwet</w:t>
      </w:r>
    </w:p>
    <w:p>
      <w:pPr>
        <w:pStyle w:val="BodyText"/>
      </w:pPr>
      <w:r>
        <w:t xml:space="preserve">161,427</w:t>
      </w:r>
    </w:p>
    <w:p>
      <w:pPr>
        <w:pStyle w:val="BodyText"/>
      </w:pPr>
      <w:r>
        <w:br/>
      </w:r>
      <w:r>
        <w:t xml:space="preserve">Turkana County reported the highest number of brucellosis cases in cattle at 114, followed closely by Narok County with 70 cases and Murang’a County with 26 cases. Kiambu, Kajiado, Isiolo, and Homa Bay had zero reported cases in cattle. Sixteen counties had no cases of brucellosis in cattle, while 31 counties had more than one case of brucellosis in cattle.</w:t>
      </w:r>
    </w:p>
    <w:p>
      <w:pPr>
        <w:pStyle w:val="BodyText"/>
      </w:pPr>
      <w:r>
        <w:t xml:space="preserve">In goats, Kwale County led with 528 brucellosis cases, followed by Turkana County with 168 cases. Nyamira, Narok, and Nandi had no reported cases in goats. Thirty one counties had no cases of brucellosis in goats, while 16 counties had more than one case of brucellosis in goats.</w:t>
      </w:r>
    </w:p>
    <w:p>
      <w:pPr>
        <w:pStyle w:val="BodyText"/>
      </w:pPr>
      <w:r>
        <w:t xml:space="preserve">For sheep, Marsabit recorded the highest number of cases at 28, followed by Turkana with 17 and Makueni with 12. Some counties, including Taita Taveta, Siaya, and Nyeri, had no reported cases in sheep. Thirty counties had no cases of brucellosis in goats, while 8 counties had more than one case of brucellosis in goats.</w:t>
      </w:r>
    </w:p>
    <w:p>
      <w:pPr>
        <w:pStyle w:val="BodyText"/>
      </w:pPr>
      <w:r>
        <w:t xml:space="preserve">Across the species, most cases were clinically confirmed, except for humans where most cases were lab confirmed (table 2).</w:t>
      </w:r>
    </w:p>
    <w:p>
      <w:r>
        <w:br w:type="page"/>
      </w:r>
    </w:p>
    <w:p>
      <w:pPr>
        <w:pStyle w:val="TableCaption"/>
      </w:pPr>
      <w:r>
        <w:t xml:space="preserve">Number of cases according to the type of Diagnosis</w:t>
      </w:r>
    </w:p>
    <w:tbl>
      <w:tblPr>
        <w:tblStyle w:val="Table"/>
        <w:tblW w:type="auto" w:w="0"/>
        <w:tblLook w:firstRow="1" w:lastRow="0" w:firstColumn="0" w:lastColumn="0" w:noHBand="0" w:noVBand="0" w:val="0020"/>
        <w:jc w:val="start"/>
        <w:tblCaption w:val="Number of cases according to the type of Diagnosis"/>
      </w:tblPr>
      <w:tblGrid>
        <w:gridCol w:w="1980"/>
        <w:gridCol w:w="1980"/>
        <w:gridCol w:w="1980"/>
        <w:gridCol w:w="1980"/>
      </w:tblGrid>
      <w:tr>
        <w:trPr>
          <w:tblHeader w:val="true"/>
        </w:trPr>
        <w:tc>
          <w:tcPr/>
          <w:p>
            <w:pPr>
              <w:pStyle w:val="Compact"/>
              <w:jc w:val="center"/>
            </w:pPr>
            <w:r>
              <w:t xml:space="preserve">Species</w:t>
            </w:r>
          </w:p>
        </w:tc>
        <w:tc>
          <w:tcPr/>
          <w:p>
            <w:pPr>
              <w:pStyle w:val="Compact"/>
              <w:jc w:val="center"/>
            </w:pPr>
            <w:r>
              <w:t xml:space="preserve">Diagnosis</w:t>
            </w:r>
          </w:p>
        </w:tc>
        <w:tc>
          <w:tcPr/>
          <w:p>
            <w:pPr>
              <w:pStyle w:val="Compact"/>
              <w:jc w:val="center"/>
            </w:pPr>
            <w:r>
              <w:t xml:space="preserve">Cases</w:t>
            </w:r>
          </w:p>
        </w:tc>
        <w:tc>
          <w:tcPr/>
          <w:p>
            <w:pPr>
              <w:pStyle w:val="Compact"/>
              <w:jc w:val="center"/>
            </w:pPr>
            <w:r>
              <w:t xml:space="preserve">Percent(%)</w:t>
            </w:r>
          </w:p>
        </w:tc>
      </w:tr>
      <w:tr>
        <w:tc>
          <w:tcPr/>
          <w:p>
            <w:pPr>
              <w:pStyle w:val="Compact"/>
              <w:jc w:val="center"/>
            </w:pPr>
            <w:r>
              <w:t xml:space="preserve">Camels</w:t>
            </w:r>
          </w:p>
        </w:tc>
        <w:tc>
          <w:tcPr/>
          <w:p>
            <w:pPr>
              <w:pStyle w:val="Compact"/>
              <w:jc w:val="center"/>
            </w:pPr>
            <w:r>
              <w:t xml:space="preserve">Clinically confirmed</w:t>
            </w:r>
          </w:p>
        </w:tc>
        <w:tc>
          <w:tcPr/>
          <w:p>
            <w:pPr>
              <w:pStyle w:val="Compact"/>
              <w:jc w:val="center"/>
            </w:pPr>
            <w:r>
              <w:t xml:space="preserve">21.0</w:t>
            </w:r>
          </w:p>
        </w:tc>
        <w:tc>
          <w:tcPr/>
          <w:p>
            <w:pPr>
              <w:pStyle w:val="Compact"/>
              <w:jc w:val="center"/>
            </w:pPr>
            <w:r>
              <w:t xml:space="preserve">91.30</w:t>
            </w:r>
          </w:p>
        </w:tc>
      </w:tr>
      <w:tr>
        <w:tc>
          <w:tcPr/>
          <w:p>
            <w:pPr>
              <w:pStyle w:val="Compact"/>
              <w:jc w:val="center"/>
            </w:pPr>
            <w:r>
              <w:t xml:space="preserve">Camels</w:t>
            </w:r>
          </w:p>
        </w:tc>
        <w:tc>
          <w:tcPr/>
          <w:p>
            <w:pPr>
              <w:pStyle w:val="Compact"/>
              <w:jc w:val="center"/>
            </w:pPr>
            <w:r>
              <w:t xml:space="preserve">Lab confirmed</w:t>
            </w:r>
          </w:p>
        </w:tc>
        <w:tc>
          <w:tcPr/>
          <w:p>
            <w:pPr>
              <w:pStyle w:val="Compact"/>
              <w:jc w:val="center"/>
            </w:pPr>
            <w:r>
              <w:t xml:space="preserve">2.0</w:t>
            </w:r>
          </w:p>
        </w:tc>
        <w:tc>
          <w:tcPr/>
          <w:p>
            <w:pPr>
              <w:pStyle w:val="Compact"/>
              <w:jc w:val="center"/>
            </w:pPr>
            <w:r>
              <w:t xml:space="preserve">8.70</w:t>
            </w:r>
          </w:p>
        </w:tc>
      </w:tr>
      <w:tr>
        <w:tc>
          <w:tcPr/>
          <w:p>
            <w:pPr>
              <w:pStyle w:val="Compact"/>
              <w:jc w:val="center"/>
            </w:pPr>
            <w:r>
              <w:t xml:space="preserve">Camels</w:t>
            </w:r>
          </w:p>
        </w:tc>
        <w:tc>
          <w:tcPr/>
          <w:p>
            <w:pPr>
              <w:pStyle w:val="Compact"/>
              <w:jc w:val="center"/>
            </w:pPr>
            <w:r>
              <w:t xml:space="preserve">Post Mortem</w:t>
            </w:r>
          </w:p>
        </w:tc>
        <w:tc>
          <w:tcPr/>
          <w:p>
            <w:pPr>
              <w:pStyle w:val="Compact"/>
              <w:jc w:val="center"/>
            </w:pPr>
            <w:r>
              <w:t xml:space="preserve">0.0</w:t>
            </w:r>
          </w:p>
        </w:tc>
        <w:tc>
          <w:tcPr/>
          <w:p>
            <w:pPr>
              <w:pStyle w:val="Compact"/>
              <w:jc w:val="center"/>
            </w:pPr>
            <w:r>
              <w:t xml:space="preserve">0.00</w:t>
            </w:r>
          </w:p>
        </w:tc>
      </w:tr>
      <w:tr>
        <w:tc>
          <w:tcPr/>
          <w:p>
            <w:pPr>
              <w:pStyle w:val="Compact"/>
              <w:jc w:val="center"/>
            </w:pPr>
            <w:r>
              <w:t xml:space="preserve">Cattle</w:t>
            </w:r>
          </w:p>
        </w:tc>
        <w:tc>
          <w:tcPr/>
          <w:p>
            <w:pPr>
              <w:pStyle w:val="Compact"/>
              <w:jc w:val="center"/>
            </w:pPr>
            <w:r>
              <w:t xml:space="preserve">Clinically confirmed</w:t>
            </w:r>
          </w:p>
        </w:tc>
        <w:tc>
          <w:tcPr/>
          <w:p>
            <w:pPr>
              <w:pStyle w:val="Compact"/>
              <w:jc w:val="center"/>
            </w:pPr>
            <w:r>
              <w:t xml:space="preserve">228.0</w:t>
            </w:r>
          </w:p>
        </w:tc>
        <w:tc>
          <w:tcPr/>
          <w:p>
            <w:pPr>
              <w:pStyle w:val="Compact"/>
              <w:jc w:val="center"/>
            </w:pPr>
            <w:r>
              <w:t xml:space="preserve">55.34</w:t>
            </w:r>
          </w:p>
        </w:tc>
      </w:tr>
      <w:tr>
        <w:tc>
          <w:tcPr/>
          <w:p>
            <w:pPr>
              <w:pStyle w:val="Compact"/>
              <w:jc w:val="center"/>
            </w:pPr>
            <w:r>
              <w:t xml:space="preserve">Cattle</w:t>
            </w:r>
          </w:p>
        </w:tc>
        <w:tc>
          <w:tcPr/>
          <w:p>
            <w:pPr>
              <w:pStyle w:val="Compact"/>
              <w:jc w:val="center"/>
            </w:pPr>
            <w:r>
              <w:t xml:space="preserve">Lab confirmed</w:t>
            </w:r>
          </w:p>
        </w:tc>
        <w:tc>
          <w:tcPr/>
          <w:p>
            <w:pPr>
              <w:pStyle w:val="Compact"/>
              <w:jc w:val="center"/>
            </w:pPr>
            <w:r>
              <w:t xml:space="preserve">170.0</w:t>
            </w:r>
          </w:p>
        </w:tc>
        <w:tc>
          <w:tcPr/>
          <w:p>
            <w:pPr>
              <w:pStyle w:val="Compact"/>
              <w:jc w:val="center"/>
            </w:pPr>
            <w:r>
              <w:t xml:space="preserve">41.26</w:t>
            </w:r>
          </w:p>
        </w:tc>
      </w:tr>
      <w:tr>
        <w:tc>
          <w:tcPr/>
          <w:p>
            <w:pPr>
              <w:pStyle w:val="Compact"/>
              <w:jc w:val="center"/>
            </w:pPr>
            <w:r>
              <w:t xml:space="preserve">Cattle</w:t>
            </w:r>
          </w:p>
        </w:tc>
        <w:tc>
          <w:tcPr/>
          <w:p>
            <w:pPr>
              <w:pStyle w:val="Compact"/>
              <w:jc w:val="center"/>
            </w:pPr>
            <w:r>
              <w:t xml:space="preserve">Post Mortem</w:t>
            </w:r>
          </w:p>
        </w:tc>
        <w:tc>
          <w:tcPr/>
          <w:p>
            <w:pPr>
              <w:pStyle w:val="Compact"/>
              <w:jc w:val="center"/>
            </w:pPr>
            <w:r>
              <w:t xml:space="preserve">14.0</w:t>
            </w:r>
          </w:p>
        </w:tc>
        <w:tc>
          <w:tcPr/>
          <w:p>
            <w:pPr>
              <w:pStyle w:val="Compact"/>
              <w:jc w:val="center"/>
            </w:pPr>
            <w:r>
              <w:t xml:space="preserve">3.40</w:t>
            </w:r>
          </w:p>
        </w:tc>
      </w:tr>
      <w:tr>
        <w:tc>
          <w:tcPr/>
          <w:p>
            <w:pPr>
              <w:pStyle w:val="Compact"/>
              <w:jc w:val="center"/>
            </w:pPr>
            <w:r>
              <w:t xml:space="preserve">Goats</w:t>
            </w:r>
          </w:p>
        </w:tc>
        <w:tc>
          <w:tcPr/>
          <w:p>
            <w:pPr>
              <w:pStyle w:val="Compact"/>
              <w:jc w:val="center"/>
            </w:pPr>
            <w:r>
              <w:t xml:space="preserve">Clinically confirmed</w:t>
            </w:r>
          </w:p>
        </w:tc>
        <w:tc>
          <w:tcPr/>
          <w:p>
            <w:pPr>
              <w:pStyle w:val="Compact"/>
              <w:jc w:val="center"/>
            </w:pPr>
            <w:r>
              <w:t xml:space="preserve">815.0</w:t>
            </w:r>
          </w:p>
        </w:tc>
        <w:tc>
          <w:tcPr/>
          <w:p>
            <w:pPr>
              <w:pStyle w:val="Compact"/>
              <w:jc w:val="center"/>
            </w:pPr>
            <w:r>
              <w:t xml:space="preserve">82.16</w:t>
            </w:r>
          </w:p>
        </w:tc>
      </w:tr>
      <w:tr>
        <w:tc>
          <w:tcPr/>
          <w:p>
            <w:pPr>
              <w:pStyle w:val="Compact"/>
              <w:jc w:val="center"/>
            </w:pPr>
            <w:r>
              <w:t xml:space="preserve">Goats</w:t>
            </w:r>
          </w:p>
        </w:tc>
        <w:tc>
          <w:tcPr/>
          <w:p>
            <w:pPr>
              <w:pStyle w:val="Compact"/>
              <w:jc w:val="center"/>
            </w:pPr>
            <w:r>
              <w:t xml:space="preserve">Lab confirmed</w:t>
            </w:r>
          </w:p>
        </w:tc>
        <w:tc>
          <w:tcPr/>
          <w:p>
            <w:pPr>
              <w:pStyle w:val="Compact"/>
              <w:jc w:val="center"/>
            </w:pPr>
            <w:r>
              <w:t xml:space="preserve">177.0</w:t>
            </w:r>
          </w:p>
        </w:tc>
        <w:tc>
          <w:tcPr/>
          <w:p>
            <w:pPr>
              <w:pStyle w:val="Compact"/>
              <w:jc w:val="center"/>
            </w:pPr>
            <w:r>
              <w:t xml:space="preserve">17.84</w:t>
            </w:r>
          </w:p>
        </w:tc>
      </w:tr>
      <w:tr>
        <w:tc>
          <w:tcPr/>
          <w:p>
            <w:pPr>
              <w:pStyle w:val="Compact"/>
              <w:jc w:val="center"/>
            </w:pPr>
            <w:r>
              <w:t xml:space="preserve">Goats</w:t>
            </w:r>
          </w:p>
        </w:tc>
        <w:tc>
          <w:tcPr/>
          <w:p>
            <w:pPr>
              <w:pStyle w:val="Compact"/>
              <w:jc w:val="center"/>
            </w:pPr>
            <w:r>
              <w:t xml:space="preserve">Post Mortem</w:t>
            </w:r>
          </w:p>
        </w:tc>
        <w:tc>
          <w:tcPr/>
          <w:p>
            <w:pPr>
              <w:pStyle w:val="Compact"/>
              <w:jc w:val="center"/>
            </w:pPr>
            <w:r>
              <w:t xml:space="preserve">0.0</w:t>
            </w:r>
          </w:p>
        </w:tc>
        <w:tc>
          <w:tcPr/>
          <w:p>
            <w:pPr>
              <w:pStyle w:val="Compact"/>
              <w:jc w:val="center"/>
            </w:pPr>
            <w:r>
              <w:t xml:space="preserve">0.00</w:t>
            </w:r>
          </w:p>
        </w:tc>
      </w:tr>
      <w:tr>
        <w:tc>
          <w:tcPr/>
          <w:p>
            <w:pPr>
              <w:pStyle w:val="Compact"/>
              <w:jc w:val="center"/>
            </w:pPr>
            <w:r>
              <w:t xml:space="preserve">Humans</w:t>
            </w:r>
          </w:p>
        </w:tc>
        <w:tc>
          <w:tcPr/>
          <w:p>
            <w:pPr>
              <w:pStyle w:val="Compact"/>
              <w:jc w:val="center"/>
            </w:pPr>
            <w:r>
              <w:t xml:space="preserve">Clinically confirmed</w:t>
            </w:r>
          </w:p>
        </w:tc>
        <w:tc>
          <w:tcPr/>
          <w:p>
            <w:pPr>
              <w:pStyle w:val="Compact"/>
              <w:jc w:val="center"/>
            </w:pPr>
            <w:r>
              <w:t xml:space="preserve">904217.3</w:t>
            </w:r>
          </w:p>
        </w:tc>
        <w:tc>
          <w:tcPr/>
          <w:p>
            <w:pPr>
              <w:pStyle w:val="Compact"/>
              <w:jc w:val="center"/>
            </w:pPr>
            <w:r>
              <w:t xml:space="preserve">22.02</w:t>
            </w:r>
          </w:p>
        </w:tc>
      </w:tr>
      <w:tr>
        <w:tc>
          <w:tcPr/>
          <w:p>
            <w:pPr>
              <w:pStyle w:val="Compact"/>
              <w:jc w:val="center"/>
            </w:pPr>
            <w:r>
              <w:t xml:space="preserve">Humans</w:t>
            </w:r>
          </w:p>
        </w:tc>
        <w:tc>
          <w:tcPr/>
          <w:p>
            <w:pPr>
              <w:pStyle w:val="Compact"/>
              <w:jc w:val="center"/>
            </w:pPr>
            <w:r>
              <w:t xml:space="preserve">Lab confirmed</w:t>
            </w:r>
          </w:p>
        </w:tc>
        <w:tc>
          <w:tcPr/>
          <w:p>
            <w:pPr>
              <w:pStyle w:val="Compact"/>
              <w:jc w:val="center"/>
            </w:pPr>
            <w:r>
              <w:t xml:space="preserve">3202945.0</w:t>
            </w:r>
          </w:p>
        </w:tc>
        <w:tc>
          <w:tcPr/>
          <w:p>
            <w:pPr>
              <w:pStyle w:val="Compact"/>
              <w:jc w:val="center"/>
            </w:pPr>
            <w:r>
              <w:t xml:space="preserve">77.98</w:t>
            </w:r>
          </w:p>
        </w:tc>
      </w:tr>
      <w:tr>
        <w:tc>
          <w:tcPr/>
          <w:p>
            <w:pPr>
              <w:pStyle w:val="Compact"/>
              <w:jc w:val="center"/>
            </w:pPr>
            <w:r>
              <w:t xml:space="preserve">Humans</w:t>
            </w:r>
          </w:p>
        </w:tc>
        <w:tc>
          <w:tcPr/>
          <w:p>
            <w:pPr>
              <w:pStyle w:val="Compact"/>
              <w:jc w:val="center"/>
            </w:pPr>
            <w:r>
              <w:t xml:space="preserve">Post Mortem</w:t>
            </w:r>
          </w:p>
        </w:tc>
        <w:tc>
          <w:tcPr/>
          <w:p>
            <w:pPr>
              <w:pStyle w:val="Compact"/>
              <w:jc w:val="center"/>
            </w:pPr>
            <w:r>
              <w:t xml:space="preserve">0.0</w:t>
            </w:r>
          </w:p>
        </w:tc>
        <w:tc>
          <w:tcPr/>
          <w:p>
            <w:pPr>
              <w:pStyle w:val="Compact"/>
              <w:jc w:val="center"/>
            </w:pPr>
            <w:r>
              <w:t xml:space="preserve">0.00</w:t>
            </w:r>
          </w:p>
        </w:tc>
      </w:tr>
      <w:tr>
        <w:tc>
          <w:tcPr/>
          <w:p>
            <w:pPr>
              <w:pStyle w:val="Compact"/>
              <w:jc w:val="center"/>
            </w:pPr>
            <w:r>
              <w:t xml:space="preserve">Sheep</w:t>
            </w:r>
          </w:p>
        </w:tc>
        <w:tc>
          <w:tcPr/>
          <w:p>
            <w:pPr>
              <w:pStyle w:val="Compact"/>
              <w:jc w:val="center"/>
            </w:pPr>
            <w:r>
              <w:t xml:space="preserve">Clinically confirmed</w:t>
            </w:r>
          </w:p>
        </w:tc>
        <w:tc>
          <w:tcPr/>
          <w:p>
            <w:pPr>
              <w:pStyle w:val="Compact"/>
              <w:jc w:val="center"/>
            </w:pPr>
            <w:r>
              <w:t xml:space="preserve">65.0</w:t>
            </w:r>
          </w:p>
        </w:tc>
        <w:tc>
          <w:tcPr/>
          <w:p>
            <w:pPr>
              <w:pStyle w:val="Compact"/>
              <w:jc w:val="center"/>
            </w:pPr>
            <w:r>
              <w:t xml:space="preserve">79.27</w:t>
            </w:r>
          </w:p>
        </w:tc>
      </w:tr>
      <w:tr>
        <w:tc>
          <w:tcPr/>
          <w:p>
            <w:pPr>
              <w:pStyle w:val="Compact"/>
              <w:jc w:val="center"/>
            </w:pPr>
            <w:r>
              <w:t xml:space="preserve">Sheep</w:t>
            </w:r>
          </w:p>
        </w:tc>
        <w:tc>
          <w:tcPr/>
          <w:p>
            <w:pPr>
              <w:pStyle w:val="Compact"/>
              <w:jc w:val="center"/>
            </w:pPr>
            <w:r>
              <w:t xml:space="preserve">Lab confirmed</w:t>
            </w:r>
          </w:p>
        </w:tc>
        <w:tc>
          <w:tcPr/>
          <w:p>
            <w:pPr>
              <w:pStyle w:val="Compact"/>
              <w:jc w:val="center"/>
            </w:pPr>
            <w:r>
              <w:t xml:space="preserve">17.0</w:t>
            </w:r>
          </w:p>
        </w:tc>
        <w:tc>
          <w:tcPr/>
          <w:p>
            <w:pPr>
              <w:pStyle w:val="Compact"/>
              <w:jc w:val="center"/>
            </w:pPr>
            <w:r>
              <w:t xml:space="preserve">20.73</w:t>
            </w:r>
          </w:p>
        </w:tc>
      </w:tr>
      <w:tr>
        <w:tc>
          <w:tcPr/>
          <w:p>
            <w:pPr>
              <w:pStyle w:val="Compact"/>
              <w:jc w:val="center"/>
            </w:pPr>
            <w:r>
              <w:t xml:space="preserve">Sheep</w:t>
            </w:r>
          </w:p>
        </w:tc>
        <w:tc>
          <w:tcPr/>
          <w:p>
            <w:pPr>
              <w:pStyle w:val="Compact"/>
              <w:jc w:val="center"/>
            </w:pPr>
            <w:r>
              <w:t xml:space="preserve">Post Mortem</w:t>
            </w:r>
          </w:p>
        </w:tc>
        <w:tc>
          <w:tcPr/>
          <w:p>
            <w:pPr>
              <w:pStyle w:val="Compact"/>
              <w:jc w:val="center"/>
            </w:pPr>
            <w:r>
              <w:t xml:space="preserve">0.0</w:t>
            </w:r>
          </w:p>
        </w:tc>
        <w:tc>
          <w:tcPr/>
          <w:p>
            <w:pPr>
              <w:pStyle w:val="Compact"/>
              <w:jc w:val="center"/>
            </w:pPr>
            <w:r>
              <w:t xml:space="preserve">0.00</w:t>
            </w:r>
          </w:p>
        </w:tc>
      </w:tr>
    </w:tbl>
    <w:p>
      <w:pPr>
        <w:pStyle w:val="BodyText"/>
      </w:pPr>
      <w:r>
        <w:t xml:space="preserve">In camels, Tana River reported the highest number of cases at 13, followed by Marsabit with 8, and Garissa and Isiolo tied at one case. All other counties (43 counties)reported no cases of brucellosis in camels.</w:t>
      </w:r>
    </w:p>
    <w:p>
      <w:pPr>
        <w:pStyle w:val="BodyText"/>
      </w:pPr>
      <w:r>
        <w:t xml:space="preserve">Overall, the cumulative count of brucellosis cases reached 4,107,162 in humans, 992 in goats, 412 in cattle, 82 in sheep, and 23 in camels. These details, along with additional descriptive statistics, are encapsulated in the table 3.</w:t>
      </w:r>
    </w:p>
    <w:p>
      <w:pPr>
        <w:pStyle w:val="TableCaption"/>
      </w:pPr>
      <w:r>
        <w:t xml:space="preserve">Descriptive statistics for the number of cases</w:t>
      </w:r>
    </w:p>
    <w:tbl>
      <w:tblPr>
        <w:tblStyle w:val="Table"/>
        <w:tblW w:type="pct" w:w="5000"/>
        <w:tblLook w:firstRow="1" w:lastRow="0" w:firstColumn="0" w:lastColumn="0" w:noHBand="0" w:noVBand="0" w:val="0020"/>
        <w:jc w:val="start"/>
        <w:tblCaption w:val="Descriptive statistics for the number of cases"/>
      </w:tblPr>
      <w:tblGrid>
        <w:gridCol w:w="1080"/>
        <w:gridCol w:w="1320"/>
        <w:gridCol w:w="1080"/>
        <w:gridCol w:w="960"/>
        <w:gridCol w:w="1080"/>
        <w:gridCol w:w="2400"/>
      </w:tblGrid>
      <w:tr>
        <w:trPr>
          <w:tblHeader w:val="true"/>
        </w:trPr>
        <w:tc>
          <w:tcPr/>
          <w:p>
            <w:pPr>
              <w:pStyle w:val="Compact"/>
              <w:jc w:val="center"/>
            </w:pPr>
            <w:r>
              <w:t xml:space="preserve">Species</w:t>
            </w:r>
          </w:p>
        </w:tc>
        <w:tc>
          <w:tcPr/>
          <w:p>
            <w:pPr>
              <w:pStyle w:val="Compact"/>
              <w:jc w:val="center"/>
            </w:pPr>
            <w:r>
              <w:t xml:space="preserve">Cases</w:t>
            </w:r>
          </w:p>
        </w:tc>
        <w:tc>
          <w:tcPr/>
          <w:p>
            <w:pPr>
              <w:pStyle w:val="Compact"/>
              <w:jc w:val="center"/>
            </w:pPr>
            <w:r>
              <w:t xml:space="preserve">Minimum</w:t>
            </w:r>
          </w:p>
        </w:tc>
        <w:tc>
          <w:tcPr/>
          <w:p>
            <w:pPr>
              <w:pStyle w:val="Compact"/>
              <w:jc w:val="center"/>
            </w:pPr>
            <w:r>
              <w:t xml:space="preserve">Median</w:t>
            </w:r>
          </w:p>
        </w:tc>
        <w:tc>
          <w:tcPr/>
          <w:p>
            <w:pPr>
              <w:pStyle w:val="Compact"/>
              <w:jc w:val="center"/>
            </w:pPr>
            <w:r>
              <w:t xml:space="preserve">Maximum</w:t>
            </w:r>
          </w:p>
        </w:tc>
        <w:tc>
          <w:tcPr/>
          <w:p>
            <w:pPr>
              <w:pStyle w:val="Compact"/>
              <w:jc w:val="center"/>
            </w:pPr>
            <w:r>
              <w:t xml:space="preserve">Standard Deviation</w:t>
            </w:r>
          </w:p>
        </w:tc>
      </w:tr>
      <w:tr>
        <w:tc>
          <w:tcPr/>
          <w:p>
            <w:pPr>
              <w:pStyle w:val="Compact"/>
              <w:jc w:val="center"/>
            </w:pPr>
            <w:r>
              <w:t xml:space="preserve">Human</w:t>
            </w:r>
          </w:p>
        </w:tc>
        <w:tc>
          <w:tcPr/>
          <w:p>
            <w:pPr>
              <w:pStyle w:val="Compact"/>
              <w:jc w:val="center"/>
            </w:pPr>
            <w:r>
              <w:t xml:space="preserve">4,107,162</w:t>
            </w:r>
          </w:p>
        </w:tc>
        <w:tc>
          <w:tcPr/>
          <w:p>
            <w:pPr>
              <w:pStyle w:val="Compact"/>
              <w:jc w:val="center"/>
            </w:pPr>
            <w:r>
              <w:t xml:space="preserve">885</w:t>
            </w:r>
          </w:p>
        </w:tc>
        <w:tc>
          <w:tcPr/>
          <w:p>
            <w:pPr>
              <w:pStyle w:val="Compact"/>
              <w:jc w:val="center"/>
            </w:pPr>
            <w:r>
              <w:t xml:space="preserve">58,670</w:t>
            </w:r>
          </w:p>
        </w:tc>
        <w:tc>
          <w:tcPr/>
          <w:p>
            <w:pPr>
              <w:pStyle w:val="Compact"/>
              <w:jc w:val="center"/>
            </w:pPr>
            <w:r>
              <w:t xml:space="preserve">309,011</w:t>
            </w:r>
          </w:p>
        </w:tc>
        <w:tc>
          <w:tcPr/>
          <w:p>
            <w:pPr>
              <w:pStyle w:val="Compact"/>
              <w:jc w:val="center"/>
            </w:pPr>
            <w:r>
              <w:t xml:space="preserve">78,693.6</w:t>
            </w:r>
          </w:p>
        </w:tc>
      </w:tr>
      <w:tr>
        <w:tc>
          <w:tcPr/>
          <w:p>
            <w:pPr>
              <w:pStyle w:val="Compact"/>
              <w:jc w:val="center"/>
            </w:pPr>
            <w:r>
              <w:t xml:space="preserve">Goat</w:t>
            </w:r>
          </w:p>
        </w:tc>
        <w:tc>
          <w:tcPr/>
          <w:p>
            <w:pPr>
              <w:pStyle w:val="Compact"/>
              <w:jc w:val="center"/>
            </w:pPr>
            <w:r>
              <w:t xml:space="preserve">992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528</w:t>
            </w:r>
          </w:p>
        </w:tc>
        <w:tc>
          <w:tcPr/>
          <w:p>
            <w:pPr>
              <w:pStyle w:val="Compact"/>
              <w:jc w:val="center"/>
            </w:pPr>
            <w:r>
              <w:t xml:space="preserve">82.2</w:t>
            </w:r>
          </w:p>
        </w:tc>
      </w:tr>
      <w:tr>
        <w:tc>
          <w:tcPr/>
          <w:p>
            <w:pPr>
              <w:pStyle w:val="Compact"/>
              <w:jc w:val="center"/>
            </w:pPr>
            <w:r>
              <w:t xml:space="preserve">Cattle</w:t>
            </w:r>
          </w:p>
        </w:tc>
        <w:tc>
          <w:tcPr/>
          <w:p>
            <w:pPr>
              <w:pStyle w:val="Compact"/>
              <w:jc w:val="center"/>
            </w:pPr>
            <w:r>
              <w:t xml:space="preserve">412</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114</w:t>
            </w:r>
          </w:p>
        </w:tc>
        <w:tc>
          <w:tcPr/>
          <w:p>
            <w:pPr>
              <w:pStyle w:val="Compact"/>
              <w:jc w:val="center"/>
            </w:pPr>
            <w:r>
              <w:t xml:space="preserve">19.3</w:t>
            </w:r>
          </w:p>
        </w:tc>
      </w:tr>
      <w:tr>
        <w:tc>
          <w:tcPr/>
          <w:p>
            <w:pPr>
              <w:pStyle w:val="Compact"/>
              <w:jc w:val="center"/>
            </w:pPr>
            <w:r>
              <w:t xml:space="preserve">Sheep</w:t>
            </w:r>
          </w:p>
        </w:tc>
        <w:tc>
          <w:tcPr/>
          <w:p>
            <w:pPr>
              <w:pStyle w:val="Compact"/>
              <w:jc w:val="center"/>
            </w:pPr>
            <w:r>
              <w:t xml:space="preserve">82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28</w:t>
            </w:r>
          </w:p>
        </w:tc>
        <w:tc>
          <w:tcPr/>
          <w:p>
            <w:pPr>
              <w:pStyle w:val="Compact"/>
              <w:jc w:val="center"/>
            </w:pPr>
            <w:r>
              <w:t xml:space="preserve">5.2</w:t>
            </w:r>
          </w:p>
        </w:tc>
      </w:tr>
      <w:tr>
        <w:tc>
          <w:tcPr/>
          <w:p>
            <w:pPr>
              <w:pStyle w:val="Compact"/>
              <w:jc w:val="center"/>
            </w:pPr>
            <w:r>
              <w:t xml:space="preserve">Camel</w:t>
            </w:r>
          </w:p>
        </w:tc>
        <w:tc>
          <w:tcPr/>
          <w:p>
            <w:pPr>
              <w:pStyle w:val="Compact"/>
              <w:jc w:val="center"/>
            </w:pPr>
            <w:r>
              <w:t xml:space="preserve">23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13</w:t>
            </w:r>
          </w:p>
        </w:tc>
        <w:tc>
          <w:tcPr/>
          <w:p>
            <w:pPr>
              <w:pStyle w:val="Compact"/>
              <w:jc w:val="center"/>
            </w:pPr>
            <w:r>
              <w:t xml:space="preserve">2.2</w:t>
            </w:r>
          </w:p>
        </w:tc>
      </w:tr>
    </w:tbl>
    <w:bookmarkEnd w:id="20"/>
    <w:bookmarkStart w:id="21" w:name="incidence-rate"/>
    <w:p>
      <w:pPr>
        <w:pStyle w:val="Heading2"/>
      </w:pPr>
      <w:r>
        <w:t xml:space="preserve">Incidence Rate</w:t>
      </w:r>
    </w:p>
    <w:p>
      <w:pPr>
        <w:pStyle w:val="FirstParagraph"/>
      </w:pPr>
      <w:r>
        <w:t xml:space="preserve">The incidence rates were calculated per 1,000,000 population for all species except humans, where the incidence rate was calculated per 1,000 population due to the notably higher case numbers in humans and comparatively lower cases in other species. The mean incidence rate in humans stood at 8.191 per 1,000, while for goats, it was 0.127 per 1,000,000 goats, for cattle, 0.114 per 1,000,000 cattle, for sheep, 0.032 per 1,000,000 sheep, and for camels, 0.011 per 1,000,000 camels (refer to Table 3).</w:t>
      </w:r>
    </w:p>
    <w:p>
      <w:pPr>
        <w:pStyle w:val="BodyText"/>
      </w:pPr>
      <w:r>
        <w:t xml:space="preserve">The maximum incidence rate in humans was 84 per 1,000, observed in Elgeyo Marakwet county. In goats, the maximum incidence rate was 4.83 per 1,000,000, reported in Kwale county. For cattle, Mombasa recorded the highest incidence rate of 1.41 per 1,000,000, while Tana River exhibited the maximum incidence rate for camels at 0.73 per 1,000,000. Lastly, the maximum incidence rate for sheep was 0.26 per 1,000,000, observed in Makueni county (table 4).</w:t>
      </w:r>
    </w:p>
    <w:p>
      <w:pPr>
        <w:pStyle w:val="TableCaption"/>
      </w:pPr>
      <w:r>
        <w:t xml:space="preserve">Descriptive Statistics for Incidence Rate</w:t>
      </w:r>
    </w:p>
    <w:tbl>
      <w:tblPr>
        <w:tblStyle w:val="Table"/>
        <w:tblW w:type="pct" w:w="5000"/>
        <w:tblLook w:firstRow="1" w:lastRow="0" w:firstColumn="0" w:lastColumn="0" w:noHBand="0" w:noVBand="0" w:val="0020"/>
        <w:jc w:val="start"/>
        <w:tblCaption w:val="Descriptive Statistics for Incidence Rate"/>
      </w:tblPr>
      <w:tblGrid>
        <w:gridCol w:w="937"/>
        <w:gridCol w:w="2188"/>
        <w:gridCol w:w="937"/>
        <w:gridCol w:w="833"/>
        <w:gridCol w:w="937"/>
        <w:gridCol w:w="2084"/>
      </w:tblGrid>
      <w:tr>
        <w:trPr>
          <w:tblHeader w:val="true"/>
        </w:trPr>
        <w:tc>
          <w:tcPr/>
          <w:p>
            <w:pPr>
              <w:pStyle w:val="Compact"/>
              <w:jc w:val="center"/>
            </w:pPr>
            <w:r>
              <w:t xml:space="preserve">Species</w:t>
            </w:r>
          </w:p>
        </w:tc>
        <w:tc>
          <w:tcPr/>
          <w:p>
            <w:pPr>
              <w:pStyle w:val="Compact"/>
              <w:jc w:val="center"/>
            </w:pPr>
            <w:r>
              <w:t xml:space="preserve">Mean Incidence Rate</w:t>
            </w:r>
          </w:p>
        </w:tc>
        <w:tc>
          <w:tcPr/>
          <w:p>
            <w:pPr>
              <w:pStyle w:val="Compact"/>
              <w:jc w:val="center"/>
            </w:pPr>
            <w:r>
              <w:t xml:space="preserve">Minimum</w:t>
            </w:r>
          </w:p>
        </w:tc>
        <w:tc>
          <w:tcPr/>
          <w:p>
            <w:pPr>
              <w:pStyle w:val="Compact"/>
              <w:jc w:val="center"/>
            </w:pPr>
            <w:r>
              <w:t xml:space="preserve">Median</w:t>
            </w:r>
          </w:p>
        </w:tc>
        <w:tc>
          <w:tcPr/>
          <w:p>
            <w:pPr>
              <w:pStyle w:val="Compact"/>
              <w:jc w:val="center"/>
            </w:pPr>
            <w:r>
              <w:t xml:space="preserve">Maximum</w:t>
            </w:r>
          </w:p>
        </w:tc>
        <w:tc>
          <w:tcPr/>
          <w:p>
            <w:pPr>
              <w:pStyle w:val="Compact"/>
              <w:jc w:val="center"/>
            </w:pPr>
            <w:r>
              <w:t xml:space="preserve">Standard Deviation</w:t>
            </w:r>
          </w:p>
        </w:tc>
      </w:tr>
      <w:tr>
        <w:tc>
          <w:tcPr/>
          <w:p>
            <w:pPr>
              <w:pStyle w:val="Compact"/>
              <w:jc w:val="center"/>
            </w:pPr>
            <w:r>
              <w:t xml:space="preserve">Human</w:t>
            </w:r>
          </w:p>
        </w:tc>
        <w:tc>
          <w:tcPr/>
          <w:p>
            <w:pPr>
              <w:pStyle w:val="Compact"/>
              <w:jc w:val="center"/>
            </w:pPr>
            <w:r>
              <w:t xml:space="preserve">8.1914894</w:t>
            </w:r>
          </w:p>
        </w:tc>
        <w:tc>
          <w:tcPr/>
          <w:p>
            <w:pPr>
              <w:pStyle w:val="Compact"/>
              <w:jc w:val="center"/>
            </w:pPr>
            <w:r>
              <w:t xml:space="preserve">0</w:t>
            </w:r>
          </w:p>
        </w:tc>
        <w:tc>
          <w:tcPr/>
          <w:p>
            <w:pPr>
              <w:pStyle w:val="Compact"/>
              <w:jc w:val="center"/>
            </w:pPr>
            <w:r>
              <w:t xml:space="preserve">3.000</w:t>
            </w:r>
          </w:p>
        </w:tc>
        <w:tc>
          <w:tcPr/>
          <w:p>
            <w:pPr>
              <w:pStyle w:val="Compact"/>
              <w:jc w:val="center"/>
            </w:pPr>
            <w:r>
              <w:t xml:space="preserve">84.00</w:t>
            </w:r>
          </w:p>
        </w:tc>
        <w:tc>
          <w:tcPr/>
          <w:p>
            <w:pPr>
              <w:pStyle w:val="Compact"/>
              <w:jc w:val="center"/>
            </w:pPr>
            <w:r>
              <w:t xml:space="preserve">14.018</w:t>
            </w:r>
          </w:p>
        </w:tc>
      </w:tr>
      <w:tr>
        <w:tc>
          <w:tcPr/>
          <w:p>
            <w:pPr>
              <w:pStyle w:val="Compact"/>
              <w:jc w:val="center"/>
            </w:pPr>
            <w:r>
              <w:t xml:space="preserve">Goat</w:t>
            </w:r>
          </w:p>
        </w:tc>
        <w:tc>
          <w:tcPr/>
          <w:p>
            <w:pPr>
              <w:pStyle w:val="Compact"/>
              <w:jc w:val="center"/>
            </w:pPr>
            <w:r>
              <w:t xml:space="preserve">0.1273745</w:t>
            </w:r>
          </w:p>
        </w:tc>
        <w:tc>
          <w:tcPr/>
          <w:p>
            <w:pPr>
              <w:pStyle w:val="Compact"/>
              <w:jc w:val="center"/>
            </w:pPr>
            <w:r>
              <w:t xml:space="preserve">0</w:t>
            </w:r>
          </w:p>
        </w:tc>
        <w:tc>
          <w:tcPr/>
          <w:p>
            <w:pPr>
              <w:pStyle w:val="Compact"/>
              <w:jc w:val="center"/>
            </w:pPr>
            <w:r>
              <w:t xml:space="preserve">0.000</w:t>
            </w:r>
          </w:p>
        </w:tc>
        <w:tc>
          <w:tcPr/>
          <w:p>
            <w:pPr>
              <w:pStyle w:val="Compact"/>
              <w:jc w:val="center"/>
            </w:pPr>
            <w:r>
              <w:t xml:space="preserve">4.83</w:t>
            </w:r>
          </w:p>
        </w:tc>
        <w:tc>
          <w:tcPr/>
          <w:p>
            <w:pPr>
              <w:pStyle w:val="Compact"/>
              <w:jc w:val="center"/>
            </w:pPr>
            <w:r>
              <w:t xml:space="preserve">0.703</w:t>
            </w:r>
          </w:p>
        </w:tc>
      </w:tr>
      <w:tr>
        <w:tc>
          <w:tcPr/>
          <w:p>
            <w:pPr>
              <w:pStyle w:val="Compact"/>
              <w:jc w:val="center"/>
            </w:pPr>
            <w:r>
              <w:t xml:space="preserve">Cattle</w:t>
            </w:r>
          </w:p>
        </w:tc>
        <w:tc>
          <w:tcPr/>
          <w:p>
            <w:pPr>
              <w:pStyle w:val="Compact"/>
              <w:jc w:val="center"/>
            </w:pPr>
            <w:r>
              <w:t xml:space="preserve">0.1136426</w:t>
            </w:r>
          </w:p>
        </w:tc>
        <w:tc>
          <w:tcPr/>
          <w:p>
            <w:pPr>
              <w:pStyle w:val="Compact"/>
              <w:jc w:val="center"/>
            </w:pPr>
            <w:r>
              <w:t xml:space="preserve">0</w:t>
            </w:r>
          </w:p>
        </w:tc>
        <w:tc>
          <w:tcPr/>
          <w:p>
            <w:pPr>
              <w:pStyle w:val="Compact"/>
              <w:jc w:val="center"/>
            </w:pPr>
            <w:r>
              <w:t xml:space="preserve">0.039</w:t>
            </w:r>
          </w:p>
        </w:tc>
        <w:tc>
          <w:tcPr/>
          <w:p>
            <w:pPr>
              <w:pStyle w:val="Compact"/>
              <w:jc w:val="center"/>
            </w:pPr>
            <w:r>
              <w:t xml:space="preserve">1.41</w:t>
            </w:r>
          </w:p>
        </w:tc>
        <w:tc>
          <w:tcPr/>
          <w:p>
            <w:pPr>
              <w:pStyle w:val="Compact"/>
              <w:jc w:val="center"/>
            </w:pPr>
            <w:r>
              <w:t xml:space="preserve">0.257</w:t>
            </w:r>
          </w:p>
        </w:tc>
      </w:tr>
      <w:tr>
        <w:tc>
          <w:tcPr/>
          <w:p>
            <w:pPr>
              <w:pStyle w:val="Compact"/>
              <w:jc w:val="center"/>
            </w:pPr>
            <w:r>
              <w:t xml:space="preserve">Camel</w:t>
            </w:r>
          </w:p>
        </w:tc>
        <w:tc>
          <w:tcPr/>
          <w:p>
            <w:pPr>
              <w:pStyle w:val="Compact"/>
              <w:jc w:val="center"/>
            </w:pPr>
            <w:r>
              <w:t xml:space="preserve">0.0316926</w:t>
            </w:r>
          </w:p>
        </w:tc>
        <w:tc>
          <w:tcPr/>
          <w:p>
            <w:pPr>
              <w:pStyle w:val="Compact"/>
              <w:jc w:val="center"/>
            </w:pPr>
            <w:r>
              <w:t xml:space="preserve">0</w:t>
            </w:r>
          </w:p>
        </w:tc>
        <w:tc>
          <w:tcPr/>
          <w:p>
            <w:pPr>
              <w:pStyle w:val="Compact"/>
              <w:jc w:val="center"/>
            </w:pPr>
            <w:r>
              <w:t xml:space="preserve">0.000</w:t>
            </w:r>
          </w:p>
        </w:tc>
        <w:tc>
          <w:tcPr/>
          <w:p>
            <w:pPr>
              <w:pStyle w:val="Compact"/>
              <w:jc w:val="center"/>
            </w:pPr>
            <w:r>
              <w:t xml:space="preserve">0.73</w:t>
            </w:r>
          </w:p>
        </w:tc>
        <w:tc>
          <w:tcPr/>
          <w:p>
            <w:pPr>
              <w:pStyle w:val="Compact"/>
              <w:jc w:val="center"/>
            </w:pPr>
            <w:r>
              <w:t xml:space="preserve">0.140</w:t>
            </w:r>
          </w:p>
        </w:tc>
      </w:tr>
      <w:tr>
        <w:tc>
          <w:tcPr/>
          <w:p>
            <w:pPr>
              <w:pStyle w:val="Compact"/>
              <w:jc w:val="center"/>
            </w:pPr>
            <w:r>
              <w:t xml:space="preserve">Sheep</w:t>
            </w:r>
          </w:p>
        </w:tc>
        <w:tc>
          <w:tcPr/>
          <w:p>
            <w:pPr>
              <w:pStyle w:val="Compact"/>
              <w:jc w:val="center"/>
            </w:pPr>
            <w:r>
              <w:t xml:space="preserve">0.0110851</w:t>
            </w:r>
          </w:p>
        </w:tc>
        <w:tc>
          <w:tcPr/>
          <w:p>
            <w:pPr>
              <w:pStyle w:val="Compact"/>
              <w:jc w:val="center"/>
            </w:pPr>
            <w:r>
              <w:t xml:space="preserve">0</w:t>
            </w:r>
          </w:p>
        </w:tc>
        <w:tc>
          <w:tcPr/>
          <w:p>
            <w:pPr>
              <w:pStyle w:val="Compact"/>
              <w:jc w:val="center"/>
            </w:pPr>
            <w:r>
              <w:t xml:space="preserve">0.000</w:t>
            </w:r>
          </w:p>
        </w:tc>
        <w:tc>
          <w:tcPr/>
          <w:p>
            <w:pPr>
              <w:pStyle w:val="Compact"/>
              <w:jc w:val="center"/>
            </w:pPr>
            <w:r>
              <w:t xml:space="preserve">0.26</w:t>
            </w:r>
          </w:p>
        </w:tc>
        <w:tc>
          <w:tcPr/>
          <w:p>
            <w:pPr>
              <w:pStyle w:val="Compact"/>
              <w:jc w:val="center"/>
            </w:pPr>
            <w:r>
              <w:t xml:space="preserve">0.042</w:t>
            </w:r>
          </w:p>
        </w:tc>
      </w:tr>
    </w:tbl>
    <w:p>
      <w:r>
        <w:br w:type="page"/>
      </w:r>
    </w:p>
    <w:bookmarkEnd w:id="21"/>
    <w:bookmarkStart w:id="25" w:name="trend-over-time"/>
    <w:p>
      <w:pPr>
        <w:pStyle w:val="Heading2"/>
      </w:pPr>
      <w:r>
        <w:t xml:space="preserve">Trend over time</w:t>
      </w:r>
    </w:p>
    <w:p>
      <w:pPr>
        <w:pStyle w:val="FirstParagraph"/>
      </w:pPr>
      <w:r>
        <w:t xml:space="preserve">The trend for the incidence rates over time is shown in the figure below.</w:t>
      </w:r>
    </w:p>
    <w:p>
      <w:pPr>
        <w:pStyle w:val="BodyText"/>
      </w:pPr>
      <w:r>
        <w:drawing>
          <wp:inline>
            <wp:extent cx="5334000" cy="3200400"/>
            <wp:effectExtent b="0" l="0" r="0" t="0"/>
            <wp:docPr descr="" title="" id="23" name="Picture"/>
            <a:graphic>
              <a:graphicData uri="http://schemas.openxmlformats.org/drawingml/2006/picture">
                <pic:pic>
                  <pic:nvPicPr>
                    <pic:cNvPr descr="analysis_files/figure-docx/unnamed-chunk-6-1.png" id="24" name="Picture"/>
                    <pic:cNvPicPr>
                      <a:picLocks noChangeArrowheads="1" noChangeAspect="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p>
    <w:bookmarkEnd w:id="25"/>
    <w:bookmarkStart w:id="29" w:name="smoothed-trend"/>
    <w:p>
      <w:pPr>
        <w:pStyle w:val="Heading2"/>
      </w:pPr>
      <w:r>
        <w:t xml:space="preserve">Smoothed Trend</w:t>
      </w:r>
    </w:p>
    <w:p>
      <w:pPr>
        <w:pStyle w:val="FirstParagraph"/>
      </w:pPr>
      <w:r>
        <w:t xml:space="preserve">The incidence rate was smoothed using moving average of 3 months which resulted to the following plot</w:t>
      </w:r>
    </w:p>
    <w:p>
      <w:pPr>
        <w:pStyle w:val="BodyText"/>
      </w:pPr>
      <w:r>
        <w:drawing>
          <wp:inline>
            <wp:extent cx="5334000" cy="3200400"/>
            <wp:effectExtent b="0" l="0" r="0" t="0"/>
            <wp:docPr descr="" title="" id="27" name="Picture"/>
            <a:graphic>
              <a:graphicData uri="http://schemas.openxmlformats.org/drawingml/2006/picture">
                <pic:pic>
                  <pic:nvPicPr>
                    <pic:cNvPr descr="analysis_files/figure-docx/unnamed-chunk-7-1.png" id="28" name="Picture"/>
                    <pic:cNvPicPr>
                      <a:picLocks noChangeArrowheads="1" noChangeAspect="1"/>
                    </pic:cNvPicPr>
                  </pic:nvPicPr>
                  <pic:blipFill>
                    <a:blip r:embed="rId26"/>
                    <a:stretch>
                      <a:fillRect/>
                    </a:stretch>
                  </pic:blipFill>
                  <pic:spPr bwMode="auto">
                    <a:xfrm>
                      <a:off x="0" y="0"/>
                      <a:ext cx="5334000" cy="3200400"/>
                    </a:xfrm>
                    <a:prstGeom prst="rect">
                      <a:avLst/>
                    </a:prstGeom>
                    <a:noFill/>
                    <a:ln w="9525">
                      <a:noFill/>
                      <a:headEnd/>
                      <a:tailEnd/>
                    </a:ln>
                  </pic:spPr>
                </pic:pic>
              </a:graphicData>
            </a:graphic>
          </wp:inline>
        </w:drawing>
      </w:r>
    </w:p>
    <w:bookmarkEnd w:id="29"/>
    <w:bookmarkStart w:id="33" w:name="spatial"/>
    <w:p>
      <w:pPr>
        <w:pStyle w:val="Heading2"/>
      </w:pPr>
      <w:r>
        <w:t xml:space="preserve">Spatial</w:t>
      </w:r>
    </w:p>
    <w:p>
      <w:pPr>
        <w:pStyle w:val="FirstParagraph"/>
      </w:pPr>
      <w:r>
        <w:drawing>
          <wp:inline>
            <wp:extent cx="5334000" cy="6858000"/>
            <wp:effectExtent b="0" l="0" r="0" t="0"/>
            <wp:docPr descr="" title="" id="31" name="Picture"/>
            <a:graphic>
              <a:graphicData uri="http://schemas.openxmlformats.org/drawingml/2006/picture">
                <pic:pic>
                  <pic:nvPicPr>
                    <pic:cNvPr descr="analysis_files/figure-docx/unnamed-chunk-8-1.png" id="32" name="Picture"/>
                    <pic:cNvPicPr>
                      <a:picLocks noChangeArrowheads="1" noChangeAspect="1"/>
                    </pic:cNvPicPr>
                  </pic:nvPicPr>
                  <pic:blipFill>
                    <a:blip r:embed="rId30"/>
                    <a:stretch>
                      <a:fillRect/>
                    </a:stretch>
                  </pic:blipFill>
                  <pic:spPr bwMode="auto">
                    <a:xfrm>
                      <a:off x="0" y="0"/>
                      <a:ext cx="5334000" cy="6858000"/>
                    </a:xfrm>
                    <a:prstGeom prst="rect">
                      <a:avLst/>
                    </a:prstGeom>
                    <a:noFill/>
                    <a:ln w="9525">
                      <a:noFill/>
                      <a:headEnd/>
                      <a:tailEnd/>
                    </a:ln>
                  </pic:spPr>
                </pic:pic>
              </a:graphicData>
            </a:graphic>
          </wp:inline>
        </w:drawing>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dc:title>
  <dc:creator/>
  <cp:keywords/>
  <dcterms:created xsi:type="dcterms:W3CDTF">2023-11-10T09:19:16Z</dcterms:created>
  <dcterms:modified xsi:type="dcterms:W3CDTF">2023-11-10T09:19:16Z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