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104736" w14:textId="0989451F" w:rsidR="0083544A" w:rsidRPr="00D85C1B" w:rsidRDefault="0083544A" w:rsidP="0083544A">
      <w:pPr>
        <w:rPr>
          <w:b/>
          <w:color w:val="000000" w:themeColor="text1"/>
          <w:sz w:val="24"/>
          <w:szCs w:val="24"/>
        </w:rPr>
      </w:pPr>
      <w:r w:rsidRPr="00D85C1B">
        <w:rPr>
          <w:b/>
          <w:color w:val="000000" w:themeColor="text1"/>
          <w:sz w:val="24"/>
          <w:szCs w:val="24"/>
        </w:rPr>
        <w:t>Supplement: Long term dynamics of measles in London: titrating the impact of wars, the 1918 pandemic, and vaccination</w:t>
      </w:r>
    </w:p>
    <w:p w14:paraId="38165712" w14:textId="77777777" w:rsidR="0083544A" w:rsidRPr="00150DC7" w:rsidRDefault="0083544A" w:rsidP="0083544A">
      <w:pPr>
        <w:rPr>
          <w:color w:val="000000" w:themeColor="text1"/>
          <w:sz w:val="24"/>
          <w:szCs w:val="24"/>
        </w:rPr>
      </w:pPr>
    </w:p>
    <w:p w14:paraId="4C172BB9" w14:textId="5F3C8942" w:rsidR="0083544A" w:rsidRPr="00150DC7" w:rsidRDefault="0083544A" w:rsidP="0083544A">
      <w:pPr>
        <w:rPr>
          <w:i/>
          <w:color w:val="000000" w:themeColor="text1"/>
          <w:sz w:val="24"/>
          <w:szCs w:val="24"/>
        </w:rPr>
      </w:pPr>
      <w:r w:rsidRPr="00150DC7">
        <w:rPr>
          <w:i/>
          <w:color w:val="000000" w:themeColor="text1"/>
          <w:sz w:val="24"/>
          <w:szCs w:val="24"/>
        </w:rPr>
        <w:t>SEIR model</w:t>
      </w:r>
      <w:r w:rsidR="00C810CE" w:rsidRPr="00150DC7">
        <w:rPr>
          <w:i/>
          <w:color w:val="000000" w:themeColor="text1"/>
          <w:sz w:val="24"/>
          <w:szCs w:val="24"/>
        </w:rPr>
        <w:t xml:space="preserve"> </w:t>
      </w:r>
      <w:r w:rsidR="00412987" w:rsidRPr="00150DC7">
        <w:rPr>
          <w:i/>
          <w:color w:val="000000" w:themeColor="text1"/>
          <w:sz w:val="24"/>
          <w:szCs w:val="24"/>
        </w:rPr>
        <w:t>description</w:t>
      </w:r>
    </w:p>
    <w:p w14:paraId="77E3AE90" w14:textId="74ACD41A" w:rsidR="00412987" w:rsidRPr="00150DC7" w:rsidRDefault="00412987" w:rsidP="0083544A">
      <w:pPr>
        <w:rPr>
          <w:i/>
          <w:color w:val="000000" w:themeColor="text1"/>
          <w:sz w:val="24"/>
          <w:szCs w:val="24"/>
        </w:rPr>
      </w:pPr>
    </w:p>
    <w:p w14:paraId="537B7BCA" w14:textId="29AA20AD" w:rsidR="008E4054" w:rsidRPr="00150DC7" w:rsidRDefault="00412987" w:rsidP="0083544A">
      <w:pPr>
        <w:rPr>
          <w:color w:val="000000" w:themeColor="text1"/>
          <w:sz w:val="24"/>
          <w:szCs w:val="24"/>
        </w:rPr>
      </w:pPr>
      <w:r w:rsidRPr="00150DC7">
        <w:rPr>
          <w:color w:val="000000" w:themeColor="text1"/>
          <w:sz w:val="24"/>
          <w:szCs w:val="24"/>
        </w:rPr>
        <w:t xml:space="preserve">In this section, we describe our fitted </w:t>
      </w:r>
      <w:r w:rsidR="009D0679">
        <w:rPr>
          <w:color w:val="000000" w:themeColor="text1"/>
          <w:sz w:val="24"/>
          <w:szCs w:val="24"/>
        </w:rPr>
        <w:t xml:space="preserve">stochastic SEIR </w:t>
      </w:r>
      <w:r w:rsidRPr="00150DC7">
        <w:rPr>
          <w:color w:val="000000" w:themeColor="text1"/>
          <w:sz w:val="24"/>
          <w:szCs w:val="24"/>
        </w:rPr>
        <w:t xml:space="preserve">model and parameters. For simplicity, we show the deterministic equations. Note however, that each transition is modeled stochastically as </w:t>
      </w:r>
      <w:r w:rsidR="00A201BB" w:rsidRPr="00150DC7">
        <w:rPr>
          <w:color w:val="000000" w:themeColor="text1"/>
          <w:sz w:val="24"/>
          <w:szCs w:val="24"/>
        </w:rPr>
        <w:t>Euler-</w:t>
      </w:r>
      <w:r w:rsidRPr="00150DC7">
        <w:rPr>
          <w:color w:val="000000" w:themeColor="text1"/>
          <w:sz w:val="24"/>
          <w:szCs w:val="24"/>
        </w:rPr>
        <w:t xml:space="preserve">multinomial transitions between states. </w:t>
      </w:r>
      <w:r w:rsidR="00EC4584" w:rsidRPr="00150DC7">
        <w:rPr>
          <w:color w:val="000000" w:themeColor="text1"/>
          <w:sz w:val="24"/>
          <w:szCs w:val="24"/>
        </w:rPr>
        <w:t xml:space="preserve">Each time step in the model was set to be </w:t>
      </w:r>
      <m:oMath>
        <m:r>
          <m:rPr>
            <m:sty m:val="p"/>
          </m:rPr>
          <w:rPr>
            <w:rFonts w:ascii="Cambria Math" w:hAnsi="Cambria Math"/>
            <w:color w:val="000000" w:themeColor="text1"/>
            <w:sz w:val="24"/>
            <w:szCs w:val="24"/>
          </w:rPr>
          <m:t>Δ</m:t>
        </m:r>
        <m:r>
          <w:rPr>
            <w:rFonts w:ascii="Cambria Math" w:hAnsi="Cambria Math"/>
            <w:color w:val="000000" w:themeColor="text1"/>
            <w:sz w:val="24"/>
            <w:szCs w:val="24"/>
          </w:rPr>
          <m:t>t=1</m:t>
        </m:r>
      </m:oMath>
      <w:r w:rsidR="00EC4584" w:rsidRPr="00150DC7">
        <w:rPr>
          <w:rFonts w:eastAsiaTheme="minorEastAsia"/>
          <w:color w:val="000000" w:themeColor="text1"/>
          <w:sz w:val="24"/>
          <w:szCs w:val="24"/>
        </w:rPr>
        <w:t xml:space="preserve"> day.</w:t>
      </w:r>
    </w:p>
    <w:p w14:paraId="62839300" w14:textId="77777777" w:rsidR="008E4054" w:rsidRPr="00150DC7" w:rsidRDefault="008E4054" w:rsidP="0083544A">
      <w:pPr>
        <w:rPr>
          <w:color w:val="000000" w:themeColor="text1"/>
          <w:sz w:val="24"/>
          <w:szCs w:val="24"/>
        </w:rPr>
      </w:pPr>
    </w:p>
    <w:p w14:paraId="45244771" w14:textId="47257BF4" w:rsidR="0083544A" w:rsidRPr="00150DC7" w:rsidRDefault="00A54F99" w:rsidP="0083544A">
      <w:pPr>
        <w:pStyle w:val="TextBody"/>
        <w:jc w:val="center"/>
        <w:rPr>
          <w:rFonts w:ascii="Times New Roman" w:hAnsi="Times New Roman" w:cs="Times New Roman"/>
          <w:color w:val="000000" w:themeColor="text1"/>
        </w:rPr>
      </w:pPr>
      <m:oMathPara>
        <m:oMathParaPr>
          <m:jc m:val="left"/>
        </m:oMathParaPr>
        <m:oMath>
          <m:f>
            <m:fPr>
              <m:ctrlPr>
                <w:rPr>
                  <w:rFonts w:ascii="Cambria Math" w:hAnsi="Cambria Math" w:cs="Times New Roman"/>
                  <w:color w:val="000000" w:themeColor="text1"/>
                </w:rPr>
              </m:ctrlPr>
            </m:fPr>
            <m:num>
              <m:r>
                <w:rPr>
                  <w:rFonts w:ascii="Cambria Math" w:hAnsi="Cambria Math" w:cs="Times New Roman"/>
                  <w:color w:val="000000" w:themeColor="text1"/>
                </w:rPr>
                <m:t>dS</m:t>
              </m:r>
            </m:num>
            <m:den>
              <m:r>
                <w:rPr>
                  <w:rFonts w:ascii="Cambria Math" w:hAnsi="Cambria Math" w:cs="Times New Roman"/>
                  <w:color w:val="000000" w:themeColor="text1"/>
                </w:rPr>
                <m:t>dt</m:t>
              </m:r>
            </m:den>
          </m:f>
          <m:r>
            <w:rPr>
              <w:rFonts w:ascii="Cambria Math" w:hAnsi="Cambria Math" w:cs="Times New Roman"/>
              <w:color w:val="000000" w:themeColor="text1"/>
            </w:rPr>
            <m:t>=Births-</m:t>
          </m:r>
          <m:sSub>
            <m:sSubPr>
              <m:ctrlPr>
                <w:rPr>
                  <w:rFonts w:ascii="Cambria Math" w:hAnsi="Cambria Math" w:cs="Times New Roman"/>
                  <w:i/>
                  <w:color w:val="000000" w:themeColor="text1"/>
                </w:rPr>
              </m:ctrlPr>
            </m:sSubPr>
            <m:e>
              <m:r>
                <w:rPr>
                  <w:rFonts w:ascii="Cambria Math" w:hAnsi="Cambria Math" w:cs="Times New Roman"/>
                  <w:color w:val="000000" w:themeColor="text1"/>
                </w:rPr>
                <m:t>λ</m:t>
              </m:r>
            </m:e>
            <m:sub>
              <m:r>
                <w:rPr>
                  <w:rFonts w:ascii="Cambria Math" w:hAnsi="Cambria Math" w:cs="Times New Roman"/>
                  <w:color w:val="000000" w:themeColor="text1"/>
                </w:rPr>
                <m:t>t</m:t>
              </m:r>
            </m:sub>
          </m:sSub>
          <m:r>
            <w:rPr>
              <w:rFonts w:ascii="Cambria Math" w:hAnsi="Cambria Math" w:cs="Times New Roman"/>
              <w:color w:val="000000" w:themeColor="text1"/>
            </w:rPr>
            <m:t>(</m:t>
          </m:r>
          <m:sSup>
            <m:sSupPr>
              <m:ctrlPr>
                <w:rPr>
                  <w:rFonts w:ascii="Cambria Math" w:hAnsi="Cambria Math" w:cs="Times New Roman"/>
                  <w:color w:val="000000" w:themeColor="text1"/>
                </w:rPr>
              </m:ctrlPr>
            </m:sSupPr>
            <m:e>
              <m:r>
                <w:rPr>
                  <w:rFonts w:ascii="Cambria Math" w:hAnsi="Cambria Math" w:cs="Times New Roman"/>
                  <w:color w:val="000000" w:themeColor="text1"/>
                </w:rPr>
                <m:t>I+ι)</m:t>
              </m:r>
            </m:e>
            <m:sup>
              <m:r>
                <w:rPr>
                  <w:rFonts w:ascii="Cambria Math" w:hAnsi="Cambria Math" w:cs="Times New Roman"/>
                  <w:color w:val="000000" w:themeColor="text1"/>
                </w:rPr>
                <m:t>α</m:t>
              </m:r>
            </m:sup>
          </m:sSup>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t</m:t>
              </m:r>
            </m:sub>
          </m:sSub>
          <m:r>
            <w:rPr>
              <w:rFonts w:ascii="Cambria Math" w:hAnsi="Cambria Math" w:cs="Times New Roman"/>
              <w:color w:val="000000" w:themeColor="text1"/>
            </w:rPr>
            <m:t>S-Vaccination</m:t>
          </m:r>
        </m:oMath>
      </m:oMathPara>
    </w:p>
    <w:p w14:paraId="1BD58E1F" w14:textId="52E7C2A9" w:rsidR="0083544A" w:rsidRPr="00150DC7" w:rsidRDefault="00A54F99" w:rsidP="0083544A">
      <w:pPr>
        <w:pStyle w:val="TextBody"/>
        <w:jc w:val="center"/>
        <w:rPr>
          <w:rFonts w:ascii="Times New Roman" w:hAnsi="Times New Roman" w:cs="Times New Roman"/>
          <w:color w:val="000000" w:themeColor="text1"/>
        </w:rPr>
      </w:pPr>
      <m:oMathPara>
        <m:oMathParaPr>
          <m:jc m:val="left"/>
        </m:oMathParaPr>
        <m:oMath>
          <m:f>
            <m:fPr>
              <m:ctrlPr>
                <w:rPr>
                  <w:rFonts w:ascii="Cambria Math" w:hAnsi="Cambria Math" w:cs="Times New Roman"/>
                  <w:color w:val="000000" w:themeColor="text1"/>
                </w:rPr>
              </m:ctrlPr>
            </m:fPr>
            <m:num>
              <m:r>
                <w:rPr>
                  <w:rFonts w:ascii="Cambria Math" w:hAnsi="Cambria Math" w:cs="Times New Roman"/>
                  <w:color w:val="000000" w:themeColor="text1"/>
                </w:rPr>
                <m:t>dE</m:t>
              </m:r>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λ</m:t>
              </m:r>
            </m:e>
            <m:sub>
              <m:r>
                <w:rPr>
                  <w:rFonts w:ascii="Cambria Math" w:hAnsi="Cambria Math" w:cs="Times New Roman"/>
                  <w:color w:val="000000" w:themeColor="text1"/>
                </w:rPr>
                <m:t>t</m:t>
              </m:r>
            </m:sub>
          </m:sSub>
          <m:r>
            <w:rPr>
              <w:rFonts w:ascii="Cambria Math" w:hAnsi="Cambria Math" w:cs="Times New Roman"/>
              <w:color w:val="000000" w:themeColor="text1"/>
            </w:rPr>
            <m:t>(</m:t>
          </m:r>
          <m:sSup>
            <m:sSupPr>
              <m:ctrlPr>
                <w:rPr>
                  <w:rFonts w:ascii="Cambria Math" w:hAnsi="Cambria Math" w:cs="Times New Roman"/>
                  <w:color w:val="000000" w:themeColor="text1"/>
                </w:rPr>
              </m:ctrlPr>
            </m:sSupPr>
            <m:e>
              <m:r>
                <w:rPr>
                  <w:rFonts w:ascii="Cambria Math" w:hAnsi="Cambria Math" w:cs="Times New Roman"/>
                  <w:color w:val="000000" w:themeColor="text1"/>
                </w:rPr>
                <m:t>I+ι)</m:t>
              </m:r>
            </m:e>
            <m:sup>
              <m:r>
                <w:rPr>
                  <w:rFonts w:ascii="Cambria Math" w:hAnsi="Cambria Math" w:cs="Times New Roman"/>
                  <w:color w:val="000000" w:themeColor="text1"/>
                </w:rPr>
                <m:t>α</m:t>
              </m:r>
            </m:sup>
          </m:sSup>
          <m:r>
            <w:rPr>
              <w:rFonts w:ascii="Cambria Math" w:hAnsi="Cambria Math" w:cs="Times New Roman"/>
              <w:color w:val="000000" w:themeColor="text1"/>
            </w:rPr>
            <m:t>-σE-</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t</m:t>
              </m:r>
            </m:sub>
          </m:sSub>
          <m:r>
            <w:rPr>
              <w:rFonts w:ascii="Cambria Math" w:hAnsi="Cambria Math" w:cs="Times New Roman"/>
              <w:color w:val="000000" w:themeColor="text1"/>
            </w:rPr>
            <m:t>E</m:t>
          </m:r>
          <m:r>
            <m:rPr>
              <m:sty m:val="p"/>
            </m:rPr>
            <w:rPr>
              <w:rFonts w:ascii="Cambria Math" w:hAnsi="Cambria Math" w:cs="Times New Roman"/>
              <w:color w:val="000000" w:themeColor="text1"/>
            </w:rPr>
            <w:br/>
          </m:r>
        </m:oMath>
        <m:oMath>
          <m:f>
            <m:fPr>
              <m:ctrlPr>
                <w:rPr>
                  <w:rFonts w:ascii="Cambria Math" w:hAnsi="Cambria Math" w:cs="Times New Roman"/>
                  <w:color w:val="000000" w:themeColor="text1"/>
                </w:rPr>
              </m:ctrlPr>
            </m:fPr>
            <m:num>
              <m:r>
                <w:rPr>
                  <w:rFonts w:ascii="Cambria Math" w:hAnsi="Cambria Math" w:cs="Times New Roman"/>
                  <w:color w:val="000000" w:themeColor="text1"/>
                </w:rPr>
                <m:t>dI</m:t>
              </m:r>
            </m:num>
            <m:den>
              <m:r>
                <w:rPr>
                  <w:rFonts w:ascii="Cambria Math" w:hAnsi="Cambria Math" w:cs="Times New Roman"/>
                  <w:color w:val="000000" w:themeColor="text1"/>
                </w:rPr>
                <m:t>dt</m:t>
              </m:r>
            </m:den>
          </m:f>
          <m:r>
            <w:rPr>
              <w:rFonts w:ascii="Cambria Math" w:hAnsi="Cambria Math" w:cs="Times New Roman"/>
              <w:color w:val="000000" w:themeColor="text1"/>
            </w:rPr>
            <m:t>=σE-γI-</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t</m:t>
              </m:r>
            </m:sub>
          </m:sSub>
          <m:r>
            <w:rPr>
              <w:rFonts w:ascii="Cambria Math" w:hAnsi="Cambria Math" w:cs="Times New Roman"/>
              <w:color w:val="000000" w:themeColor="text1"/>
            </w:rPr>
            <m:t>I</m:t>
          </m:r>
        </m:oMath>
      </m:oMathPara>
    </w:p>
    <w:p w14:paraId="6ABA0D75" w14:textId="1F865FAA" w:rsidR="0083544A" w:rsidRPr="00150DC7" w:rsidRDefault="00A54F99" w:rsidP="0083544A">
      <w:pPr>
        <w:pStyle w:val="TextBody"/>
        <w:jc w:val="center"/>
        <w:rPr>
          <w:rFonts w:ascii="Times New Roman" w:hAnsi="Times New Roman" w:cs="Times New Roman"/>
          <w:color w:val="000000" w:themeColor="text1"/>
        </w:rPr>
      </w:pPr>
      <m:oMathPara>
        <m:oMathParaPr>
          <m:jc m:val="left"/>
        </m:oMathParaPr>
        <m:oMath>
          <m:f>
            <m:fPr>
              <m:ctrlPr>
                <w:rPr>
                  <w:rFonts w:ascii="Cambria Math" w:hAnsi="Cambria Math" w:cs="Times New Roman"/>
                  <w:color w:val="000000" w:themeColor="text1"/>
                </w:rPr>
              </m:ctrlPr>
            </m:fPr>
            <m:num>
              <m:r>
                <w:rPr>
                  <w:rFonts w:ascii="Cambria Math" w:hAnsi="Cambria Math" w:cs="Times New Roman"/>
                  <w:color w:val="000000" w:themeColor="text1"/>
                </w:rPr>
                <m:t>dR</m:t>
              </m:r>
            </m:num>
            <m:den>
              <m:r>
                <w:rPr>
                  <w:rFonts w:ascii="Cambria Math" w:hAnsi="Cambria Math" w:cs="Times New Roman"/>
                  <w:color w:val="000000" w:themeColor="text1"/>
                </w:rPr>
                <m:t>dt</m:t>
              </m:r>
            </m:den>
          </m:f>
          <m:r>
            <w:rPr>
              <w:rFonts w:ascii="Cambria Math" w:hAnsi="Cambria Math" w:cs="Times New Roman"/>
              <w:color w:val="000000" w:themeColor="text1"/>
            </w:rPr>
            <m:t>=γI-</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t</m:t>
              </m:r>
            </m:sub>
          </m:sSub>
          <m:r>
            <w:rPr>
              <w:rFonts w:ascii="Cambria Math" w:hAnsi="Cambria Math" w:cs="Times New Roman"/>
              <w:color w:val="000000" w:themeColor="text1"/>
            </w:rPr>
            <m:t>R</m:t>
          </m:r>
        </m:oMath>
      </m:oMathPara>
    </w:p>
    <w:p w14:paraId="444F7DCC" w14:textId="77777777" w:rsidR="00A2693D" w:rsidRPr="00150DC7" w:rsidRDefault="00A2693D" w:rsidP="00A2693D">
      <w:pPr>
        <w:pStyle w:val="TextBody"/>
        <w:ind w:left="0"/>
        <w:rPr>
          <w:rFonts w:ascii="Times New Roman" w:hAnsi="Times New Roman" w:cs="Times New Roman"/>
          <w:color w:val="000000" w:themeColor="text1"/>
        </w:rPr>
      </w:pPr>
    </w:p>
    <w:p w14:paraId="6658D8F7" w14:textId="08C3E4F7" w:rsidR="008709E5" w:rsidRPr="00150DC7" w:rsidRDefault="003E0B3C" w:rsidP="008709E5">
      <w:pPr>
        <w:rPr>
          <w:color w:val="000000" w:themeColor="text1"/>
          <w:sz w:val="24"/>
          <w:szCs w:val="24"/>
        </w:rPr>
      </w:pPr>
      <w:r w:rsidRPr="00150DC7">
        <w:rPr>
          <w:color w:val="000000" w:themeColor="text1"/>
          <w:sz w:val="24"/>
          <w:szCs w:val="24"/>
        </w:rPr>
        <w:t xml:space="preserve">Here, </w:t>
      </w:r>
      <m:oMath>
        <m:r>
          <w:rPr>
            <w:rFonts w:ascii="Cambria Math" w:hAnsi="Cambria Math"/>
            <w:color w:val="000000" w:themeColor="text1"/>
            <w:sz w:val="24"/>
            <w:szCs w:val="24"/>
          </w:rPr>
          <m:t>α</m:t>
        </m:r>
      </m:oMath>
      <w:r w:rsidRPr="00150DC7">
        <w:rPr>
          <w:color w:val="000000" w:themeColor="text1"/>
          <w:sz w:val="24"/>
          <w:szCs w:val="24"/>
        </w:rPr>
        <w:t xml:space="preserve"> </w:t>
      </w:r>
      <w:r w:rsidR="00BC7596" w:rsidRPr="00150DC7">
        <w:rPr>
          <w:color w:val="000000" w:themeColor="text1"/>
          <w:sz w:val="24"/>
          <w:szCs w:val="24"/>
        </w:rPr>
        <w:t xml:space="preserve">is </w:t>
      </w:r>
      <w:r w:rsidRPr="00150DC7">
        <w:rPr>
          <w:color w:val="000000" w:themeColor="text1"/>
          <w:sz w:val="24"/>
          <w:szCs w:val="24"/>
        </w:rPr>
        <w:t xml:space="preserve">a mixing parameter, </w:t>
      </w:r>
      <m:oMath>
        <m:r>
          <w:rPr>
            <w:rFonts w:ascii="Cambria Math" w:hAnsi="Cambria Math"/>
            <w:color w:val="000000" w:themeColor="text1"/>
            <w:sz w:val="24"/>
            <w:szCs w:val="24"/>
          </w:rPr>
          <m:t>γ</m:t>
        </m:r>
      </m:oMath>
      <w:r w:rsidRPr="00150DC7">
        <w:rPr>
          <w:color w:val="000000" w:themeColor="text1"/>
          <w:sz w:val="24"/>
          <w:szCs w:val="24"/>
        </w:rPr>
        <w:t xml:space="preserve"> and </w:t>
      </w:r>
      <m:oMath>
        <m:r>
          <w:rPr>
            <w:rFonts w:ascii="Cambria Math" w:hAnsi="Cambria Math"/>
            <w:color w:val="000000" w:themeColor="text1"/>
            <w:sz w:val="24"/>
            <w:szCs w:val="24"/>
          </w:rPr>
          <m:t>σ</m:t>
        </m:r>
      </m:oMath>
      <w:r w:rsidRPr="00150DC7">
        <w:rPr>
          <w:color w:val="000000" w:themeColor="text1"/>
          <w:sz w:val="24"/>
          <w:szCs w:val="24"/>
        </w:rPr>
        <w:t xml:space="preserve"> the recovery and infection rate, respectively, and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μ</m:t>
            </m:r>
          </m:e>
          <m:sub>
            <m:r>
              <w:rPr>
                <w:rFonts w:ascii="Cambria Math" w:hAnsi="Cambria Math"/>
                <w:color w:val="000000" w:themeColor="text1"/>
                <w:sz w:val="24"/>
                <w:szCs w:val="24"/>
              </w:rPr>
              <m:t>t</m:t>
            </m:r>
          </m:sub>
        </m:sSub>
      </m:oMath>
      <w:r w:rsidRPr="00150DC7">
        <w:rPr>
          <w:color w:val="000000" w:themeColor="text1"/>
          <w:sz w:val="24"/>
          <w:szCs w:val="24"/>
        </w:rPr>
        <w:t xml:space="preserve"> is the death rate, assumed a known covariate from life expectancy data. </w:t>
      </w:r>
      <w:r w:rsidR="008709E5" w:rsidRPr="00150DC7">
        <w:rPr>
          <w:rFonts w:eastAsiaTheme="minorEastAsia"/>
          <w:color w:val="000000" w:themeColor="text1"/>
          <w:sz w:val="24"/>
          <w:szCs w:val="24"/>
        </w:rPr>
        <w:t xml:space="preserve">Births are allowed to </w:t>
      </w:r>
      <w:r w:rsidR="00BC7596" w:rsidRPr="00150DC7">
        <w:rPr>
          <w:rFonts w:eastAsiaTheme="minorEastAsia"/>
          <w:color w:val="000000" w:themeColor="text1"/>
          <w:sz w:val="24"/>
          <w:szCs w:val="24"/>
        </w:rPr>
        <w:t xml:space="preserve">vary </w:t>
      </w:r>
      <w:r w:rsidR="008709E5" w:rsidRPr="00150DC7">
        <w:rPr>
          <w:rFonts w:eastAsiaTheme="minorEastAsia"/>
          <w:color w:val="000000" w:themeColor="text1"/>
          <w:sz w:val="24"/>
          <w:szCs w:val="24"/>
        </w:rPr>
        <w:t>seasonally based on the cohort parameter</w:t>
      </w:r>
      <w:r w:rsidR="002B22E2" w:rsidRPr="00150DC7">
        <w:rPr>
          <w:rFonts w:eastAsiaTheme="minorEastAsia"/>
          <w:color w:val="000000" w:themeColor="text1"/>
          <w:sz w:val="24"/>
          <w:szCs w:val="24"/>
        </w:rPr>
        <w:t xml:space="preserve">, </w:t>
      </w:r>
      <m:oMath>
        <m:r>
          <w:rPr>
            <w:rFonts w:ascii="Cambria Math" w:hAnsi="Cambria Math"/>
            <w:color w:val="000000" w:themeColor="text1"/>
            <w:sz w:val="24"/>
            <w:szCs w:val="24"/>
          </w:rPr>
          <m:t>c</m:t>
        </m:r>
      </m:oMath>
      <w:r w:rsidR="008709E5" w:rsidRPr="00150DC7">
        <w:rPr>
          <w:rFonts w:eastAsiaTheme="minorEastAsia"/>
          <w:color w:val="000000" w:themeColor="text1"/>
          <w:sz w:val="24"/>
          <w:szCs w:val="24"/>
        </w:rPr>
        <w:t>, allowing</w:t>
      </w:r>
      <w:r w:rsidR="00BC7596" w:rsidRPr="00150DC7">
        <w:rPr>
          <w:rFonts w:eastAsiaTheme="minorEastAsia"/>
          <w:color w:val="000000" w:themeColor="text1"/>
          <w:sz w:val="24"/>
          <w:szCs w:val="24"/>
        </w:rPr>
        <w:t xml:space="preserve"> for a greater</w:t>
      </w:r>
      <w:r w:rsidR="008709E5" w:rsidRPr="00150DC7">
        <w:rPr>
          <w:rFonts w:eastAsiaTheme="minorEastAsia"/>
          <w:color w:val="000000" w:themeColor="text1"/>
          <w:sz w:val="24"/>
          <w:szCs w:val="24"/>
        </w:rPr>
        <w:t xml:space="preserve"> influx of susceptible individuals during the first week of school, assumed to be the first week of September. In this week, the birthrate changes from </w:t>
      </w:r>
    </w:p>
    <w:p w14:paraId="2145EC25" w14:textId="416FC812" w:rsidR="008709E5" w:rsidRPr="00150DC7" w:rsidRDefault="008709E5" w:rsidP="008709E5">
      <w:pPr>
        <w:rPr>
          <w:rFonts w:eastAsiaTheme="minorEastAsia"/>
          <w:color w:val="000000" w:themeColor="text1"/>
          <w:sz w:val="24"/>
          <w:szCs w:val="24"/>
        </w:rPr>
      </w:pPr>
    </w:p>
    <w:p w14:paraId="785B3965" w14:textId="3725F5AC" w:rsidR="008709E5" w:rsidRPr="00150DC7" w:rsidRDefault="008709E5" w:rsidP="008709E5">
      <w:pPr>
        <w:rPr>
          <w:rFonts w:eastAsiaTheme="minorEastAsia"/>
          <w:color w:val="000000" w:themeColor="text1"/>
          <w:sz w:val="24"/>
          <w:szCs w:val="24"/>
        </w:rPr>
      </w:pPr>
      <m:oMathPara>
        <m:oMath>
          <m:r>
            <w:rPr>
              <w:rFonts w:ascii="Cambria Math" w:hAnsi="Cambria Math"/>
              <w:color w:val="000000" w:themeColor="text1"/>
              <w:sz w:val="24"/>
              <w:szCs w:val="24"/>
            </w:rPr>
            <m:t>birthrate=(1-c)*</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t</m:t>
              </m:r>
            </m:sub>
          </m:sSub>
        </m:oMath>
      </m:oMathPara>
    </w:p>
    <w:p w14:paraId="5DDA63F3" w14:textId="49A8ED6B" w:rsidR="008709E5" w:rsidRPr="00150DC7" w:rsidRDefault="008709E5" w:rsidP="008709E5">
      <w:pPr>
        <w:rPr>
          <w:rFonts w:eastAsiaTheme="minorEastAsia"/>
          <w:color w:val="000000" w:themeColor="text1"/>
          <w:sz w:val="24"/>
          <w:szCs w:val="24"/>
        </w:rPr>
      </w:pPr>
      <w:r w:rsidRPr="00150DC7">
        <w:rPr>
          <w:rFonts w:eastAsiaTheme="minorEastAsia"/>
          <w:color w:val="000000" w:themeColor="text1"/>
          <w:sz w:val="24"/>
          <w:szCs w:val="24"/>
        </w:rPr>
        <w:t>To</w:t>
      </w:r>
    </w:p>
    <w:p w14:paraId="11378485" w14:textId="70A90CF1" w:rsidR="008709E5" w:rsidRPr="00150DC7" w:rsidRDefault="008709E5" w:rsidP="008709E5">
      <w:pPr>
        <w:rPr>
          <w:rFonts w:eastAsiaTheme="minorEastAsia"/>
          <w:color w:val="000000" w:themeColor="text1"/>
          <w:sz w:val="24"/>
          <w:szCs w:val="24"/>
        </w:rPr>
      </w:pPr>
    </w:p>
    <w:p w14:paraId="7A64AF9F" w14:textId="02CB05A1" w:rsidR="008709E5" w:rsidRPr="00150DC7" w:rsidRDefault="008709E5" w:rsidP="008709E5">
      <w:pPr>
        <w:rPr>
          <w:rFonts w:eastAsiaTheme="minorEastAsia"/>
          <w:color w:val="000000" w:themeColor="text1"/>
          <w:sz w:val="24"/>
          <w:szCs w:val="24"/>
        </w:rPr>
      </w:pPr>
      <m:oMathPara>
        <m:oMath>
          <m:r>
            <w:rPr>
              <w:rFonts w:ascii="Cambria Math" w:hAnsi="Cambria Math"/>
              <w:color w:val="000000" w:themeColor="text1"/>
              <w:sz w:val="24"/>
              <w:szCs w:val="24"/>
            </w:rPr>
            <m:t xml:space="preserve">birthrate=c*B / </m:t>
          </m:r>
          <m:r>
            <m:rPr>
              <m:sty m:val="p"/>
            </m:rPr>
            <w:rPr>
              <w:rFonts w:ascii="Cambria Math" w:hAnsi="Cambria Math"/>
              <w:color w:val="000000" w:themeColor="text1"/>
              <w:sz w:val="24"/>
              <w:szCs w:val="24"/>
            </w:rPr>
            <m:t>Δ</m:t>
          </m:r>
          <m:r>
            <w:rPr>
              <w:rFonts w:ascii="Cambria Math" w:hAnsi="Cambria Math"/>
              <w:color w:val="000000" w:themeColor="text1"/>
              <w:sz w:val="24"/>
              <w:szCs w:val="24"/>
            </w:rPr>
            <m:t>t</m:t>
          </m:r>
          <m:r>
            <m:rPr>
              <m:sty m:val="p"/>
            </m:rPr>
            <w:rPr>
              <w:rFonts w:ascii="Cambria Math"/>
              <w:color w:val="000000" w:themeColor="text1"/>
              <w:sz w:val="24"/>
              <w:szCs w:val="24"/>
            </w:rPr>
            <m:t xml:space="preserve">+ </m:t>
          </m:r>
          <m:r>
            <w:rPr>
              <w:rFonts w:ascii="Cambria Math" w:hAnsi="Cambria Math"/>
              <w:color w:val="000000" w:themeColor="text1"/>
              <w:sz w:val="24"/>
              <w:szCs w:val="24"/>
            </w:rPr>
            <m:t>(1-c)*</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t</m:t>
              </m:r>
            </m:sub>
          </m:sSub>
        </m:oMath>
      </m:oMathPara>
    </w:p>
    <w:p w14:paraId="22983FB5" w14:textId="10F87F46" w:rsidR="008709E5" w:rsidRPr="00150DC7" w:rsidRDefault="008709E5" w:rsidP="008709E5">
      <w:pPr>
        <w:rPr>
          <w:rFonts w:eastAsiaTheme="minorEastAsia"/>
          <w:color w:val="000000" w:themeColor="text1"/>
          <w:sz w:val="24"/>
          <w:szCs w:val="24"/>
        </w:rPr>
      </w:pPr>
    </w:p>
    <w:p w14:paraId="731BA535" w14:textId="104709A1" w:rsidR="008709E5" w:rsidRPr="00150DC7" w:rsidRDefault="008709E5" w:rsidP="008709E5">
      <w:pPr>
        <w:rPr>
          <w:color w:val="000000" w:themeColor="text1"/>
          <w:sz w:val="24"/>
          <w:szCs w:val="24"/>
        </w:rPr>
      </w:pPr>
      <w:r w:rsidRPr="00150DC7">
        <w:rPr>
          <w:rFonts w:eastAsiaTheme="minorEastAsia"/>
          <w:color w:val="000000" w:themeColor="text1"/>
          <w:sz w:val="24"/>
          <w:szCs w:val="24"/>
        </w:rPr>
        <w:t xml:space="preserve">Where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t</m:t>
            </m:r>
          </m:sub>
        </m:sSub>
      </m:oMath>
      <w:r w:rsidRPr="00150DC7">
        <w:rPr>
          <w:rFonts w:eastAsiaTheme="minorEastAsia"/>
          <w:color w:val="000000" w:themeColor="text1"/>
          <w:sz w:val="24"/>
          <w:szCs w:val="24"/>
        </w:rPr>
        <w:t xml:space="preserve"> refers to the true birth rate </w:t>
      </w:r>
      <w:r w:rsidR="00036B61" w:rsidRPr="00150DC7">
        <w:rPr>
          <w:rFonts w:eastAsiaTheme="minorEastAsia"/>
          <w:color w:val="000000" w:themeColor="text1"/>
          <w:sz w:val="24"/>
          <w:szCs w:val="24"/>
        </w:rPr>
        <w:t>from</w:t>
      </w:r>
      <w:r w:rsidRPr="00150DC7">
        <w:rPr>
          <w:rFonts w:eastAsiaTheme="minorEastAsia"/>
          <w:color w:val="000000" w:themeColor="text1"/>
          <w:sz w:val="24"/>
          <w:szCs w:val="24"/>
        </w:rPr>
        <w:t xml:space="preserve"> the data. We can further add</w:t>
      </w:r>
      <w:r w:rsidRPr="00150DC7">
        <w:rPr>
          <w:color w:val="000000" w:themeColor="text1"/>
          <w:sz w:val="24"/>
          <w:szCs w:val="24"/>
        </w:rPr>
        <w:t xml:space="preserve"> d</w:t>
      </w:r>
      <w:r w:rsidR="00EC4584" w:rsidRPr="00150DC7">
        <w:rPr>
          <w:color w:val="000000" w:themeColor="text1"/>
          <w:sz w:val="24"/>
          <w:szCs w:val="24"/>
        </w:rPr>
        <w:t xml:space="preserve">emographic stochasticity </w:t>
      </w:r>
      <w:r w:rsidRPr="00150DC7">
        <w:rPr>
          <w:color w:val="000000" w:themeColor="text1"/>
          <w:sz w:val="24"/>
          <w:szCs w:val="24"/>
        </w:rPr>
        <w:t xml:space="preserve">into the model via: </w:t>
      </w:r>
    </w:p>
    <w:p w14:paraId="6E67DDE4" w14:textId="77777777" w:rsidR="008709E5" w:rsidRPr="00150DC7" w:rsidRDefault="008709E5" w:rsidP="008709E5">
      <w:pPr>
        <w:rPr>
          <w:color w:val="000000" w:themeColor="text1"/>
          <w:sz w:val="24"/>
          <w:szCs w:val="24"/>
        </w:rPr>
      </w:pPr>
    </w:p>
    <w:p w14:paraId="5632086C" w14:textId="41D99C94" w:rsidR="00EC4584" w:rsidRPr="00150DC7" w:rsidRDefault="00EC4584" w:rsidP="00EC4584">
      <w:pPr>
        <w:rPr>
          <w:rFonts w:eastAsiaTheme="minorEastAsia"/>
          <w:color w:val="000000" w:themeColor="text1"/>
          <w:sz w:val="24"/>
          <w:szCs w:val="24"/>
        </w:rPr>
      </w:pPr>
      <m:oMathPara>
        <m:oMath>
          <m:r>
            <w:rPr>
              <w:rFonts w:ascii="Cambria Math" w:hAnsi="Cambria Math"/>
              <w:color w:val="000000" w:themeColor="text1"/>
              <w:sz w:val="24"/>
              <w:szCs w:val="24"/>
            </w:rPr>
            <m:t>Births ~ pois(birthrate*</m:t>
          </m:r>
          <m:r>
            <m:rPr>
              <m:sty m:val="p"/>
            </m:rPr>
            <w:rPr>
              <w:rFonts w:ascii="Cambria Math" w:hAnsi="Cambria Math"/>
              <w:color w:val="000000" w:themeColor="text1"/>
              <w:sz w:val="24"/>
              <w:szCs w:val="24"/>
            </w:rPr>
            <m:t>Δ</m:t>
          </m:r>
          <m:r>
            <w:rPr>
              <w:rFonts w:ascii="Cambria Math" w:hAnsi="Cambria Math"/>
              <w:color w:val="000000" w:themeColor="text1"/>
              <w:sz w:val="24"/>
              <w:szCs w:val="24"/>
            </w:rPr>
            <m:t>t)</m:t>
          </m:r>
        </m:oMath>
      </m:oMathPara>
    </w:p>
    <w:p w14:paraId="4D3D242A" w14:textId="36722064" w:rsidR="00EC4584" w:rsidRPr="00150DC7" w:rsidRDefault="00EC4584" w:rsidP="00EC4584">
      <w:pPr>
        <w:rPr>
          <w:rFonts w:eastAsiaTheme="minorEastAsia"/>
          <w:color w:val="000000" w:themeColor="text1"/>
          <w:sz w:val="24"/>
          <w:szCs w:val="24"/>
        </w:rPr>
      </w:pPr>
    </w:p>
    <w:p w14:paraId="7554D6A1" w14:textId="21636348" w:rsidR="00EC4584" w:rsidRPr="00150DC7" w:rsidRDefault="00EC4584" w:rsidP="00EC4584">
      <w:pPr>
        <w:rPr>
          <w:rFonts w:eastAsiaTheme="minorEastAsia"/>
          <w:color w:val="000000" w:themeColor="text1"/>
          <w:sz w:val="24"/>
          <w:szCs w:val="24"/>
        </w:rPr>
      </w:pPr>
      <m:oMathPara>
        <m:oMath>
          <m:r>
            <w:rPr>
              <w:rFonts w:ascii="Cambria Math" w:hAnsi="Cambria Math"/>
              <w:color w:val="000000" w:themeColor="text1"/>
              <w:sz w:val="24"/>
              <w:szCs w:val="24"/>
            </w:rPr>
            <m:t>Vaccination ~ pois(vaccination_rate*</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e</m:t>
              </m:r>
            </m:sub>
          </m:sSub>
          <m:r>
            <w:rPr>
              <w:rFonts w:ascii="Cambria Math" w:hAnsi="Cambria Math"/>
              <w:color w:val="000000" w:themeColor="text1"/>
              <w:sz w:val="24"/>
              <w:szCs w:val="24"/>
            </w:rPr>
            <m:t>*</m:t>
          </m:r>
          <m:r>
            <m:rPr>
              <m:sty m:val="p"/>
            </m:rPr>
            <w:rPr>
              <w:rFonts w:ascii="Cambria Math" w:hAnsi="Cambria Math"/>
              <w:color w:val="000000" w:themeColor="text1"/>
              <w:sz w:val="24"/>
              <w:szCs w:val="24"/>
            </w:rPr>
            <m:t>Δ</m:t>
          </m:r>
          <m:r>
            <w:rPr>
              <w:rFonts w:ascii="Cambria Math" w:hAnsi="Cambria Math"/>
              <w:color w:val="000000" w:themeColor="text1"/>
              <w:sz w:val="24"/>
              <w:szCs w:val="24"/>
            </w:rPr>
            <m:t>t)</m:t>
          </m:r>
        </m:oMath>
      </m:oMathPara>
    </w:p>
    <w:p w14:paraId="7CE478AD" w14:textId="63F6758A" w:rsidR="00D85C1B" w:rsidRPr="00150DC7" w:rsidRDefault="00D85C1B" w:rsidP="00EC4584">
      <w:pPr>
        <w:rPr>
          <w:rFonts w:eastAsiaTheme="minorEastAsia"/>
          <w:color w:val="000000" w:themeColor="text1"/>
          <w:sz w:val="24"/>
          <w:szCs w:val="24"/>
        </w:rPr>
      </w:pPr>
    </w:p>
    <w:p w14:paraId="338004E6" w14:textId="055F6910" w:rsidR="00EC4584" w:rsidRPr="00150DC7" w:rsidRDefault="00D85C1B" w:rsidP="00EC4584">
      <w:pPr>
        <w:rPr>
          <w:rFonts w:eastAsiaTheme="minorEastAsia"/>
          <w:color w:val="000000" w:themeColor="text1"/>
          <w:sz w:val="24"/>
          <w:szCs w:val="24"/>
        </w:rPr>
      </w:pPr>
      <w:r w:rsidRPr="00150DC7">
        <w:rPr>
          <w:rFonts w:eastAsiaTheme="minorEastAsia"/>
          <w:color w:val="000000" w:themeColor="text1"/>
          <w:sz w:val="24"/>
          <w:szCs w:val="24"/>
        </w:rPr>
        <w:t xml:space="preserve">Where </w:t>
      </w:r>
      <w:r w:rsidR="00036B61" w:rsidRPr="00150DC7">
        <w:rPr>
          <w:rFonts w:eastAsiaTheme="minorEastAsia"/>
          <w:color w:val="000000" w:themeColor="text1"/>
          <w:sz w:val="24"/>
          <w:szCs w:val="24"/>
        </w:rPr>
        <w:t xml:space="preserve">the </w:t>
      </w:r>
      <w:r w:rsidRPr="00150DC7">
        <w:rPr>
          <w:rFonts w:eastAsiaTheme="minorEastAsia"/>
          <w:color w:val="000000" w:themeColor="text1"/>
          <w:sz w:val="24"/>
          <w:szCs w:val="24"/>
        </w:rPr>
        <w:t xml:space="preserve">vaccination rate </w:t>
      </w:r>
      <w:r w:rsidR="00036B61" w:rsidRPr="00150DC7">
        <w:rPr>
          <w:rFonts w:eastAsiaTheme="minorEastAsia"/>
          <w:color w:val="000000" w:themeColor="text1"/>
          <w:sz w:val="24"/>
          <w:szCs w:val="24"/>
        </w:rPr>
        <w:t>is a</w:t>
      </w:r>
      <w:r w:rsidR="009D0679">
        <w:rPr>
          <w:rFonts w:eastAsiaTheme="minorEastAsia"/>
          <w:color w:val="000000" w:themeColor="text1"/>
          <w:sz w:val="24"/>
          <w:szCs w:val="24"/>
        </w:rPr>
        <w:t>lso a</w:t>
      </w:r>
      <w:r w:rsidRPr="00150DC7">
        <w:rPr>
          <w:rFonts w:eastAsiaTheme="minorEastAsia"/>
          <w:color w:val="000000" w:themeColor="text1"/>
          <w:sz w:val="24"/>
          <w:szCs w:val="24"/>
        </w:rPr>
        <w:t xml:space="preserve"> </w:t>
      </w:r>
      <w:r w:rsidR="0047556E" w:rsidRPr="00150DC7">
        <w:rPr>
          <w:rFonts w:eastAsiaTheme="minorEastAsia"/>
          <w:color w:val="000000" w:themeColor="text1"/>
          <w:sz w:val="24"/>
          <w:szCs w:val="24"/>
        </w:rPr>
        <w:t>time dependent covariate</w:t>
      </w:r>
      <w:r w:rsidRPr="00150DC7">
        <w:rPr>
          <w:rFonts w:eastAsiaTheme="minorEastAsia"/>
          <w:color w:val="000000" w:themeColor="text1"/>
          <w:sz w:val="24"/>
          <w:szCs w:val="24"/>
        </w:rPr>
        <w:t xml:space="preserve"> </w:t>
      </w:r>
      <w:r w:rsidR="00BC7596" w:rsidRPr="00150DC7">
        <w:rPr>
          <w:rFonts w:eastAsiaTheme="minorEastAsia"/>
          <w:color w:val="000000" w:themeColor="text1"/>
          <w:sz w:val="24"/>
          <w:szCs w:val="24"/>
        </w:rPr>
        <w:t>assumed known from</w:t>
      </w:r>
      <w:r w:rsidRPr="00150DC7">
        <w:rPr>
          <w:rFonts w:eastAsiaTheme="minorEastAsia"/>
          <w:color w:val="000000" w:themeColor="text1"/>
          <w:sz w:val="24"/>
          <w:szCs w:val="24"/>
        </w:rPr>
        <w:t xml:space="preserve"> the data</w:t>
      </w:r>
      <w:r w:rsidR="00B75908" w:rsidRPr="00150DC7">
        <w:rPr>
          <w:rFonts w:eastAsiaTheme="minorEastAsia"/>
          <w:color w:val="000000" w:themeColor="text1"/>
          <w:sz w:val="24"/>
          <w:szCs w:val="24"/>
        </w:rPr>
        <w:t xml:space="preserve">, and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e</m:t>
            </m:r>
          </m:sub>
        </m:sSub>
      </m:oMath>
      <w:r w:rsidR="00B75908" w:rsidRPr="00150DC7">
        <w:rPr>
          <w:rFonts w:eastAsiaTheme="minorEastAsia"/>
          <w:color w:val="000000" w:themeColor="text1"/>
          <w:sz w:val="24"/>
          <w:szCs w:val="24"/>
        </w:rPr>
        <w:t xml:space="preserve"> is the assumed vaccine efficacy</w:t>
      </w:r>
      <w:r w:rsidR="009D0679">
        <w:rPr>
          <w:rFonts w:eastAsiaTheme="minorEastAsia"/>
          <w:color w:val="000000" w:themeColor="text1"/>
          <w:sz w:val="24"/>
          <w:szCs w:val="24"/>
        </w:rPr>
        <w:t xml:space="preserve"> </w:t>
      </w:r>
      <w:proofErr w:type="gramStart"/>
      <w:r w:rsidR="009D0679">
        <w:rPr>
          <w:rFonts w:eastAsiaTheme="minorEastAsia"/>
          <w:color w:val="000000" w:themeColor="text1"/>
          <w:sz w:val="24"/>
          <w:szCs w:val="24"/>
        </w:rPr>
        <w:t>( =</w:t>
      </w:r>
      <w:proofErr w:type="gramEnd"/>
      <w:r w:rsidR="009D0679">
        <w:rPr>
          <w:rFonts w:eastAsiaTheme="minorEastAsia"/>
          <w:color w:val="000000" w:themeColor="text1"/>
          <w:sz w:val="24"/>
          <w:szCs w:val="24"/>
        </w:rPr>
        <w:t xml:space="preserve"> 90%)</w:t>
      </w:r>
      <w:r w:rsidR="00F26351" w:rsidRPr="00150DC7">
        <w:rPr>
          <w:rFonts w:eastAsiaTheme="minorEastAsia"/>
          <w:color w:val="000000" w:themeColor="text1"/>
          <w:sz w:val="24"/>
          <w:szCs w:val="24"/>
        </w:rPr>
        <w:t xml:space="preserve">. </w:t>
      </w:r>
      <w:r w:rsidRPr="00150DC7">
        <w:rPr>
          <w:rFonts w:eastAsiaTheme="minorEastAsia"/>
          <w:color w:val="000000" w:themeColor="text1"/>
          <w:sz w:val="24"/>
          <w:szCs w:val="24"/>
        </w:rPr>
        <w:t>E</w:t>
      </w:r>
      <w:r w:rsidR="00EC4584" w:rsidRPr="00150DC7">
        <w:rPr>
          <w:rFonts w:eastAsiaTheme="minorEastAsia"/>
          <w:color w:val="000000" w:themeColor="text1"/>
          <w:sz w:val="24"/>
          <w:szCs w:val="24"/>
        </w:rPr>
        <w:t>xtra demographic stochasticity was</w:t>
      </w:r>
      <w:r w:rsidR="00B75908" w:rsidRPr="00150DC7">
        <w:rPr>
          <w:rFonts w:eastAsiaTheme="minorEastAsia"/>
          <w:color w:val="000000" w:themeColor="text1"/>
          <w:sz w:val="24"/>
          <w:szCs w:val="24"/>
        </w:rPr>
        <w:t xml:space="preserve"> further</w:t>
      </w:r>
      <w:r w:rsidR="00EC4584" w:rsidRPr="00150DC7">
        <w:rPr>
          <w:rFonts w:eastAsiaTheme="minorEastAsia"/>
          <w:color w:val="000000" w:themeColor="text1"/>
          <w:sz w:val="24"/>
          <w:szCs w:val="24"/>
        </w:rPr>
        <w:t xml:space="preserve"> incorporated into the force of infection:</w:t>
      </w:r>
    </w:p>
    <w:p w14:paraId="3BD95656" w14:textId="3F2A2D5F" w:rsidR="00EC4584" w:rsidRPr="00150DC7" w:rsidRDefault="00EC4584" w:rsidP="00EC4584">
      <w:pPr>
        <w:rPr>
          <w:color w:val="000000" w:themeColor="text1"/>
          <w:sz w:val="24"/>
          <w:szCs w:val="24"/>
        </w:rPr>
      </w:pPr>
    </w:p>
    <w:p w14:paraId="501B6C47" w14:textId="176585A2" w:rsidR="00EC4584" w:rsidRPr="00150DC7" w:rsidRDefault="00A54F99" w:rsidP="00EC4584">
      <w:pPr>
        <w:rPr>
          <w:rFonts w:eastAsiaTheme="minorEastAsia"/>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λ</m:t>
              </m:r>
            </m:e>
            <m:sub>
              <m:r>
                <w:rPr>
                  <w:rFonts w:ascii="Cambria Math" w:hAnsi="Cambria Math"/>
                  <w:color w:val="000000" w:themeColor="text1"/>
                  <w:sz w:val="24"/>
                  <w:szCs w:val="24"/>
                </w:rPr>
                <m:t>t</m:t>
              </m:r>
            </m:sub>
          </m:sSub>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r>
            <w:rPr>
              <w:rFonts w:ascii="Cambria Math" w:hAnsi="Cambria Math"/>
              <w:color w:val="000000" w:themeColor="text1"/>
              <w:sz w:val="24"/>
              <w:szCs w:val="24"/>
            </w:rPr>
            <m:t>S</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N</m:t>
              </m:r>
            </m:e>
            <m:sup>
              <m:r>
                <w:rPr>
                  <w:rFonts w:ascii="Cambria Math" w:hAnsi="Cambria Math"/>
                  <w:color w:val="000000" w:themeColor="text1"/>
                  <w:sz w:val="24"/>
                  <w:szCs w:val="24"/>
                </w:rPr>
                <m:t>-1</m:t>
              </m:r>
            </m:sup>
          </m:sSup>
          <m:r>
            <w:rPr>
              <w:rFonts w:ascii="Cambria Math" w:hAnsi="Cambria Math"/>
              <w:color w:val="000000" w:themeColor="text1"/>
              <w:sz w:val="24"/>
              <w:szCs w:val="24"/>
            </w:rPr>
            <m:t>W</m:t>
          </m:r>
        </m:oMath>
      </m:oMathPara>
    </w:p>
    <w:p w14:paraId="2CC448B5" w14:textId="23A95D26" w:rsidR="00D85C1B" w:rsidRPr="00150DC7" w:rsidRDefault="00D85C1B" w:rsidP="00EC4584">
      <w:pPr>
        <w:rPr>
          <w:color w:val="000000" w:themeColor="text1"/>
          <w:sz w:val="24"/>
          <w:szCs w:val="24"/>
        </w:rPr>
      </w:pPr>
    </w:p>
    <w:p w14:paraId="19BFB0A7" w14:textId="30004AC9" w:rsidR="00D85C1B" w:rsidRPr="00150DC7" w:rsidRDefault="00D85C1B" w:rsidP="00D85C1B">
      <w:pPr>
        <w:rPr>
          <w:rFonts w:eastAsiaTheme="minorEastAsia"/>
          <w:color w:val="000000" w:themeColor="text1"/>
          <w:sz w:val="24"/>
          <w:szCs w:val="24"/>
        </w:rPr>
      </w:pPr>
      <w:r w:rsidRPr="00150DC7">
        <w:rPr>
          <w:color w:val="000000" w:themeColor="text1"/>
          <w:sz w:val="24"/>
          <w:szCs w:val="24"/>
        </w:rPr>
        <w:t xml:space="preserve">Where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oMath>
      <w:r w:rsidRPr="00150DC7">
        <w:rPr>
          <w:color w:val="000000" w:themeColor="text1"/>
          <w:sz w:val="24"/>
          <w:szCs w:val="24"/>
        </w:rPr>
        <w:t xml:space="preserve"> </w:t>
      </w:r>
      <w:r w:rsidR="00A12928" w:rsidRPr="00150DC7">
        <w:rPr>
          <w:color w:val="000000" w:themeColor="text1"/>
          <w:sz w:val="24"/>
          <w:szCs w:val="24"/>
        </w:rPr>
        <w:t xml:space="preserve">is the estimated seasonally repeating </w:t>
      </w:r>
      <w:r w:rsidR="008E68A0">
        <w:rPr>
          <w:color w:val="000000" w:themeColor="text1"/>
          <w:sz w:val="24"/>
          <w:szCs w:val="24"/>
        </w:rPr>
        <w:t>contact</w:t>
      </w:r>
      <w:r w:rsidR="00A12928" w:rsidRPr="00150DC7">
        <w:rPr>
          <w:color w:val="000000" w:themeColor="text1"/>
          <w:sz w:val="24"/>
          <w:szCs w:val="24"/>
        </w:rPr>
        <w:t xml:space="preserve"> function with six degrees of </w:t>
      </w:r>
      <w:proofErr w:type="gramStart"/>
      <w:r w:rsidR="00A12928" w:rsidRPr="00150DC7">
        <w:rPr>
          <w:color w:val="000000" w:themeColor="text1"/>
          <w:sz w:val="24"/>
          <w:szCs w:val="24"/>
        </w:rPr>
        <w:t>freedom.</w:t>
      </w:r>
      <w:proofErr w:type="gramEnd"/>
      <w:r w:rsidR="00A12928" w:rsidRPr="00150DC7">
        <w:rPr>
          <w:color w:val="000000" w:themeColor="text1"/>
          <w:sz w:val="24"/>
          <w:szCs w:val="24"/>
        </w:rPr>
        <w:t xml:space="preserve"> To account for potential closures due to the 1918 influenza pandemic, we allow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oMath>
      <w:r w:rsidRPr="00150DC7">
        <w:rPr>
          <w:color w:val="000000" w:themeColor="text1"/>
          <w:sz w:val="24"/>
          <w:szCs w:val="24"/>
        </w:rPr>
        <w:t xml:space="preserve"> </w:t>
      </w:r>
      <w:r w:rsidR="00A12928" w:rsidRPr="00150DC7">
        <w:rPr>
          <w:color w:val="000000" w:themeColor="text1"/>
          <w:sz w:val="24"/>
          <w:szCs w:val="24"/>
        </w:rPr>
        <w:t xml:space="preserve">to be modulated </w:t>
      </w:r>
      <w:r w:rsidRPr="00150DC7">
        <w:rPr>
          <w:color w:val="000000" w:themeColor="text1"/>
          <w:sz w:val="24"/>
          <w:szCs w:val="24"/>
        </w:rPr>
        <w:t>during the 1918 pandemic year</w:t>
      </w:r>
      <w:r w:rsidR="008E68A0">
        <w:rPr>
          <w:color w:val="000000" w:themeColor="text1"/>
          <w:sz w:val="24"/>
          <w:szCs w:val="24"/>
        </w:rPr>
        <w:t xml:space="preserve"> (e.g. be reduced by x%)</w:t>
      </w:r>
      <w:r w:rsidR="00A12928" w:rsidRPr="00150DC7">
        <w:rPr>
          <w:color w:val="000000" w:themeColor="text1"/>
          <w:sz w:val="24"/>
          <w:szCs w:val="24"/>
        </w:rPr>
        <w:t>.</w:t>
      </w:r>
      <w:r w:rsidR="008E68A0">
        <w:rPr>
          <w:color w:val="000000" w:themeColor="text1"/>
          <w:sz w:val="24"/>
          <w:szCs w:val="24"/>
        </w:rPr>
        <w:t xml:space="preserve"> Contact</w:t>
      </w:r>
      <w:r w:rsidRPr="00150DC7">
        <w:rPr>
          <w:rFonts w:eastAsiaTheme="minorEastAsia"/>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oMath>
      <w:r w:rsidRPr="00150DC7">
        <w:rPr>
          <w:rFonts w:eastAsiaTheme="minorEastAsia"/>
          <w:color w:val="000000" w:themeColor="text1"/>
          <w:sz w:val="24"/>
          <w:szCs w:val="24"/>
        </w:rPr>
        <w:t xml:space="preserve"> can be related to the crucial </w:t>
      </w:r>
      <w:r w:rsidRPr="00150DC7">
        <w:rPr>
          <w:rFonts w:eastAsiaTheme="minorEastAsia"/>
          <w:color w:val="000000" w:themeColor="text1"/>
          <w:sz w:val="24"/>
          <w:szCs w:val="24"/>
        </w:rPr>
        <w:lastRenderedPageBreak/>
        <w:t>transmissibility parameter</w:t>
      </w:r>
      <w:r w:rsidR="008E68A0">
        <w:rPr>
          <w:rFonts w:eastAsiaTheme="minorEastAsia"/>
          <w:color w:val="000000" w:themeColor="text1"/>
          <w:sz w:val="24"/>
          <w:szCs w:val="24"/>
        </w:rPr>
        <w:t>,</w:t>
      </w:r>
      <w:r w:rsidRPr="00150DC7">
        <w:rPr>
          <w:rFonts w:eastAsiaTheme="minorEastAsia"/>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0</m:t>
            </m:r>
          </m:sub>
        </m:sSub>
      </m:oMath>
      <w:r w:rsidR="008E68A0">
        <w:rPr>
          <w:rFonts w:eastAsiaTheme="minorEastAsia"/>
          <w:color w:val="000000" w:themeColor="text1"/>
          <w:sz w:val="24"/>
          <w:szCs w:val="24"/>
        </w:rPr>
        <w:t>,</w:t>
      </w:r>
      <w:r w:rsidRPr="00150DC7">
        <w:rPr>
          <w:rFonts w:eastAsiaTheme="minorEastAsia"/>
          <w:color w:val="000000" w:themeColor="text1"/>
          <w:sz w:val="24"/>
          <w:szCs w:val="24"/>
        </w:rPr>
        <w:t xml:space="preserve"> </w:t>
      </w:r>
      <w:r w:rsidR="003E0B3C" w:rsidRPr="00150DC7">
        <w:rPr>
          <w:rFonts w:eastAsiaTheme="minorEastAsia"/>
          <w:color w:val="000000" w:themeColor="text1"/>
          <w:sz w:val="24"/>
          <w:szCs w:val="24"/>
        </w:rPr>
        <w:t xml:space="preserve">by the approximation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0</m:t>
            </m:r>
          </m:sub>
        </m:sSub>
        <m:r>
          <w:rPr>
            <w:rFonts w:ascii="Cambria Math" w:hAnsi="Cambria Math"/>
            <w:color w:val="000000" w:themeColor="text1"/>
            <w:sz w:val="24"/>
            <w:szCs w:val="24"/>
          </w:rPr>
          <m:t xml:space="preserve">= </m:t>
        </m:r>
      </m:oMath>
      <w:r w:rsidR="003E0B3C" w:rsidRPr="00150DC7">
        <w:rPr>
          <w:rFonts w:eastAsiaTheme="minorEastAsia"/>
          <w:color w:val="000000" w:themeColor="text1"/>
          <w:sz w:val="24"/>
          <w:szCs w:val="24"/>
        </w:rPr>
        <w:t>mean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r>
          <w:rPr>
            <w:rFonts w:ascii="Cambria Math" w:hAnsi="Cambria Math"/>
            <w:color w:val="000000" w:themeColor="text1"/>
            <w:sz w:val="24"/>
            <w:szCs w:val="24"/>
          </w:rPr>
          <m:t>) / γ</m:t>
        </m:r>
      </m:oMath>
      <w:r w:rsidR="003E0B3C" w:rsidRPr="00150DC7">
        <w:rPr>
          <w:rFonts w:eastAsiaTheme="minorEastAsia"/>
          <w:color w:val="000000" w:themeColor="text1"/>
          <w:sz w:val="24"/>
          <w:szCs w:val="24"/>
        </w:rPr>
        <w:t>.</w:t>
      </w:r>
      <w:r w:rsidR="00633E88" w:rsidRPr="00150DC7">
        <w:rPr>
          <w:rFonts w:eastAsiaTheme="minorEastAsia"/>
          <w:color w:val="000000" w:themeColor="text1"/>
          <w:sz w:val="24"/>
          <w:szCs w:val="24"/>
        </w:rPr>
        <w:t xml:space="preserve"> </w:t>
      </w:r>
      <w:r w:rsidR="002902ED" w:rsidRPr="00150DC7">
        <w:rPr>
          <w:rFonts w:eastAsiaTheme="minorEastAsia"/>
          <w:color w:val="000000" w:themeColor="text1"/>
          <w:sz w:val="24"/>
          <w:szCs w:val="24"/>
        </w:rPr>
        <w:t xml:space="preserve">Lastly, </w:t>
      </w:r>
      <m:oMath>
        <m:r>
          <w:rPr>
            <w:rFonts w:ascii="Cambria Math" w:hAnsi="Cambria Math"/>
            <w:color w:val="000000" w:themeColor="text1"/>
            <w:sz w:val="24"/>
            <w:szCs w:val="24"/>
          </w:rPr>
          <m:t xml:space="preserve">W </m:t>
        </m:r>
      </m:oMath>
      <w:r w:rsidR="002902ED" w:rsidRPr="00150DC7">
        <w:rPr>
          <w:rFonts w:eastAsiaTheme="minorEastAsia"/>
          <w:color w:val="000000" w:themeColor="text1"/>
          <w:sz w:val="24"/>
          <w:szCs w:val="24"/>
        </w:rPr>
        <w:t>refers to a gamma whi</w:t>
      </w:r>
      <w:proofErr w:type="spellStart"/>
      <w:r w:rsidR="005D6116">
        <w:rPr>
          <w:rFonts w:eastAsiaTheme="minorEastAsia"/>
          <w:color w:val="000000" w:themeColor="text1"/>
          <w:sz w:val="24"/>
          <w:szCs w:val="24"/>
        </w:rPr>
        <w:t>t</w:t>
      </w:r>
      <w:r w:rsidR="002902ED" w:rsidRPr="00150DC7">
        <w:rPr>
          <w:rFonts w:eastAsiaTheme="minorEastAsia"/>
          <w:color w:val="000000" w:themeColor="text1"/>
          <w:sz w:val="24"/>
          <w:szCs w:val="24"/>
        </w:rPr>
        <w:t>e</w:t>
      </w:r>
      <w:proofErr w:type="spellEnd"/>
      <w:r w:rsidR="002902ED" w:rsidRPr="00150DC7">
        <w:rPr>
          <w:rFonts w:eastAsiaTheme="minorEastAsia"/>
          <w:color w:val="000000" w:themeColor="text1"/>
          <w:sz w:val="24"/>
          <w:szCs w:val="24"/>
        </w:rPr>
        <w:t xml:space="preserve"> noise parameter with standard deviation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σ</m:t>
            </m:r>
          </m:e>
          <m:sub>
            <m:r>
              <w:rPr>
                <w:rFonts w:ascii="Cambria Math" w:hAnsi="Cambria Math"/>
                <w:color w:val="000000" w:themeColor="text1"/>
                <w:sz w:val="24"/>
                <w:szCs w:val="24"/>
              </w:rPr>
              <m:t>SE</m:t>
            </m:r>
          </m:sub>
        </m:sSub>
      </m:oMath>
      <w:r w:rsidR="002902ED" w:rsidRPr="00150DC7">
        <w:rPr>
          <w:rFonts w:eastAsiaTheme="minorEastAsia"/>
          <w:color w:val="000000" w:themeColor="text1"/>
          <w:sz w:val="24"/>
          <w:szCs w:val="24"/>
        </w:rPr>
        <w:t xml:space="preserve"> as per </w:t>
      </w:r>
      <w:r w:rsidR="002902ED" w:rsidRPr="00150DC7">
        <w:rPr>
          <w:color w:val="000000" w:themeColor="text1"/>
          <w:sz w:val="24"/>
          <w:szCs w:val="24"/>
        </w:rPr>
        <w:fldChar w:fldCharType="begin" w:fldLock="1"/>
      </w:r>
      <w:r w:rsidR="00DF0047">
        <w:rPr>
          <w:color w:val="000000" w:themeColor="text1"/>
          <w:sz w:val="24"/>
          <w:szCs w:val="24"/>
        </w:rPr>
        <w:instrText>ADDIN CSL_CITATION {"citationItems":[{"id":"ITEM-1","itemData":{"DOI":"10.1098/rsif.2009.0151","ISSN":"1742-5689, 1742-5662","PMID":"19535416","abstract":"Statistical inference for mechanistic models of partially observed dynamic systems is an active area of research. Most existing inference methods place substantial restrictions upon the form of models that can be fitted and hence upon the nature of the scientific hypotheses that can be entertained and the data that can be used to evaluate them. In contrast, the so-called plug-and-play methods require only simulations from a model and are thus free of such restrictions. We show the utility of the plug-and-play approach in the context of an investigation of measles transmission dynamics. Our novel methodology enables us to ask and answer questions that previous analyses have been unable to address. Specifically, we demonstrate that plug-and-play methods permit the development of a modelling and inference framework applicable to data from both large and small populations. We thereby obtain novel insights into the nature of heterogeneity in mixing and comment on the importance of including extra-demographic stochasticity as a means of dealing with environmental stochasticity and model misspecification. Our approach is readily applicable to many other epidemiological and ecological systems.","author":[{"dropping-particle":"","family":"He","given":"Daihai","non-dropping-particle":"","parse-names":false,"suffix":""},{"dropping-particle":"","family":"Ionides","given":"Edward L","non-dropping-particle":"","parse-names":false,"suffix":""},{"dropping-particle":"","family":"King","given":"Aaron A","non-dropping-particle":"","parse-names":false,"suffix":""}],"container-title":"Journal of The Royal Society Interface","id":"ITEM-1","issue":"43","issued":{"date-parts":[["2010","2"]]},"page":"271-283","title":"Plug-and-play inference for disease dynamics: measles in large and small populations as a case study","title-short":"Plug-and-play inference for disease dynamics","type":"article-journal","volume":"7"},"uris":["http://www.mendeley.com/documents/?uuid=7f7d2c11-13da-4ec8-bd1d-1f84399741d1"]}],"mendeley":{"formattedCitation":"(&lt;i&gt;1&lt;/i&gt;)","plainTextFormattedCitation":"(1)","previouslyFormattedCitation":"(&lt;i&gt;1&lt;/i&gt;)"},"properties":{"noteIndex":0},"schema":"https://github.com/citation-style-language/schema/raw/master/csl-citation.json"}</w:instrText>
      </w:r>
      <w:r w:rsidR="002902ED" w:rsidRPr="00150DC7">
        <w:rPr>
          <w:color w:val="000000" w:themeColor="text1"/>
          <w:sz w:val="24"/>
          <w:szCs w:val="24"/>
        </w:rPr>
        <w:fldChar w:fldCharType="separate"/>
      </w:r>
      <w:r w:rsidR="002902ED" w:rsidRPr="00150DC7">
        <w:rPr>
          <w:noProof/>
          <w:color w:val="000000" w:themeColor="text1"/>
          <w:sz w:val="24"/>
          <w:szCs w:val="24"/>
        </w:rPr>
        <w:t>(</w:t>
      </w:r>
      <w:r w:rsidR="002902ED" w:rsidRPr="00150DC7">
        <w:rPr>
          <w:i/>
          <w:noProof/>
          <w:color w:val="000000" w:themeColor="text1"/>
          <w:sz w:val="24"/>
          <w:szCs w:val="24"/>
        </w:rPr>
        <w:t>1</w:t>
      </w:r>
      <w:r w:rsidR="002902ED" w:rsidRPr="00150DC7">
        <w:rPr>
          <w:noProof/>
          <w:color w:val="000000" w:themeColor="text1"/>
          <w:sz w:val="24"/>
          <w:szCs w:val="24"/>
        </w:rPr>
        <w:t>)</w:t>
      </w:r>
      <w:r w:rsidR="002902ED" w:rsidRPr="00150DC7">
        <w:rPr>
          <w:color w:val="000000" w:themeColor="text1"/>
          <w:sz w:val="24"/>
          <w:szCs w:val="24"/>
        </w:rPr>
        <w:fldChar w:fldCharType="end"/>
      </w:r>
      <w:r w:rsidR="002902ED" w:rsidRPr="00150DC7">
        <w:rPr>
          <w:color w:val="000000" w:themeColor="text1"/>
          <w:sz w:val="24"/>
          <w:szCs w:val="24"/>
        </w:rPr>
        <w:t xml:space="preserve">. Additionally, </w:t>
      </w:r>
      <w:r w:rsidR="002902ED" w:rsidRPr="00150DC7">
        <w:rPr>
          <w:rFonts w:eastAsiaTheme="minorEastAsia"/>
          <w:color w:val="000000" w:themeColor="text1"/>
          <w:sz w:val="24"/>
          <w:szCs w:val="24"/>
        </w:rPr>
        <w:t>a</w:t>
      </w:r>
      <w:r w:rsidR="00547B82" w:rsidRPr="00150DC7">
        <w:rPr>
          <w:rFonts w:eastAsiaTheme="minorEastAsia"/>
          <w:color w:val="000000" w:themeColor="text1"/>
          <w:sz w:val="24"/>
          <w:szCs w:val="24"/>
        </w:rPr>
        <w:t xml:space="preserve"> set of initial conditions for each state is further estimated.</w:t>
      </w:r>
      <w:r w:rsidR="002902ED" w:rsidRPr="00150DC7">
        <w:rPr>
          <w:rFonts w:eastAsiaTheme="minorEastAsia"/>
          <w:color w:val="000000" w:themeColor="text1"/>
          <w:sz w:val="24"/>
          <w:szCs w:val="24"/>
        </w:rPr>
        <w:t xml:space="preserve"> </w:t>
      </w:r>
      <w:r w:rsidR="005D6116">
        <w:rPr>
          <w:rFonts w:eastAsiaTheme="minorEastAsia"/>
          <w:color w:val="000000" w:themeColor="text1"/>
          <w:sz w:val="24"/>
          <w:szCs w:val="24"/>
        </w:rPr>
        <w:t xml:space="preserve">This model can be simulated using guess parameters, however we proceed via the fitting procedure described below. </w:t>
      </w:r>
      <w:r w:rsidR="002902ED" w:rsidRPr="00150DC7">
        <w:rPr>
          <w:rFonts w:eastAsiaTheme="minorEastAsia"/>
          <w:color w:val="000000" w:themeColor="text1"/>
          <w:sz w:val="24"/>
          <w:szCs w:val="24"/>
        </w:rPr>
        <w:t xml:space="preserve">Note that in our analysis, the fit shown in Figure 2 is the re simulated model </w:t>
      </w:r>
      <w:r w:rsidR="00EE7E74" w:rsidRPr="00150DC7">
        <w:rPr>
          <w:rFonts w:eastAsiaTheme="minorEastAsia"/>
          <w:color w:val="000000" w:themeColor="text1"/>
          <w:sz w:val="24"/>
          <w:szCs w:val="24"/>
        </w:rPr>
        <w:t>constructed</w:t>
      </w:r>
      <w:r w:rsidR="002902ED" w:rsidRPr="00150DC7">
        <w:rPr>
          <w:rFonts w:eastAsiaTheme="minorEastAsia"/>
          <w:color w:val="000000" w:themeColor="text1"/>
          <w:sz w:val="24"/>
          <w:szCs w:val="24"/>
        </w:rPr>
        <w:t xml:space="preserve"> with the estimated parameters started using </w:t>
      </w:r>
      <w:r w:rsidR="005D6116">
        <w:rPr>
          <w:rFonts w:eastAsiaTheme="minorEastAsia"/>
          <w:color w:val="000000" w:themeColor="text1"/>
          <w:sz w:val="24"/>
          <w:szCs w:val="24"/>
        </w:rPr>
        <w:t>the single</w:t>
      </w:r>
      <w:r w:rsidR="002902ED" w:rsidRPr="00150DC7">
        <w:rPr>
          <w:rFonts w:eastAsiaTheme="minorEastAsia"/>
          <w:color w:val="000000" w:themeColor="text1"/>
          <w:sz w:val="24"/>
          <w:szCs w:val="24"/>
        </w:rPr>
        <w:t xml:space="preserve"> set of initial conditions. </w:t>
      </w:r>
    </w:p>
    <w:p w14:paraId="2AC0B998" w14:textId="77246D98" w:rsidR="00633E88" w:rsidRPr="00150DC7" w:rsidRDefault="00633E88" w:rsidP="00D85C1B">
      <w:pPr>
        <w:rPr>
          <w:color w:val="000000" w:themeColor="text1"/>
          <w:sz w:val="24"/>
          <w:szCs w:val="24"/>
        </w:rPr>
      </w:pPr>
    </w:p>
    <w:p w14:paraId="4B8D5CD3" w14:textId="176EBE1D" w:rsidR="00EE7E74" w:rsidRPr="00150DC7" w:rsidRDefault="00EE7E74" w:rsidP="00D85C1B">
      <w:pPr>
        <w:rPr>
          <w:color w:val="000000" w:themeColor="text1"/>
          <w:sz w:val="24"/>
          <w:szCs w:val="24"/>
        </w:rPr>
      </w:pPr>
      <w:r w:rsidRPr="00150DC7">
        <w:rPr>
          <w:i/>
          <w:color w:val="000000" w:themeColor="text1"/>
          <w:sz w:val="24"/>
          <w:szCs w:val="24"/>
        </w:rPr>
        <w:t>Fitting Method</w:t>
      </w:r>
    </w:p>
    <w:p w14:paraId="4A817750" w14:textId="454C0C99" w:rsidR="00EE7E74" w:rsidRPr="00150DC7" w:rsidRDefault="00EE7E74" w:rsidP="00D85C1B">
      <w:pPr>
        <w:rPr>
          <w:color w:val="000000" w:themeColor="text1"/>
          <w:sz w:val="24"/>
          <w:szCs w:val="24"/>
        </w:rPr>
      </w:pPr>
    </w:p>
    <w:p w14:paraId="1FFBE2EE" w14:textId="651E337D" w:rsidR="00A201BB" w:rsidRPr="00150DC7" w:rsidRDefault="00EE7E74" w:rsidP="00D34F62">
      <w:pPr>
        <w:rPr>
          <w:color w:val="000000" w:themeColor="text1"/>
          <w:sz w:val="24"/>
          <w:szCs w:val="24"/>
        </w:rPr>
      </w:pPr>
      <w:r w:rsidRPr="00150DC7">
        <w:rPr>
          <w:color w:val="000000" w:themeColor="text1"/>
          <w:sz w:val="24"/>
          <w:szCs w:val="24"/>
        </w:rPr>
        <w:t xml:space="preserve">To configure our stochastic epidemic model </w:t>
      </w:r>
      <w:r w:rsidR="0047521B">
        <w:rPr>
          <w:color w:val="000000" w:themeColor="text1"/>
          <w:sz w:val="24"/>
          <w:szCs w:val="24"/>
        </w:rPr>
        <w:t>against</w:t>
      </w:r>
      <w:r w:rsidRPr="00150DC7">
        <w:rPr>
          <w:color w:val="000000" w:themeColor="text1"/>
          <w:sz w:val="24"/>
          <w:szCs w:val="24"/>
        </w:rPr>
        <w:t xml:space="preserve"> our weekly incidence and mortality data</w:t>
      </w:r>
      <w:r w:rsidR="0047521B">
        <w:rPr>
          <w:color w:val="000000" w:themeColor="text1"/>
          <w:sz w:val="24"/>
          <w:szCs w:val="24"/>
        </w:rPr>
        <w:t xml:space="preserve"> (as well as the known covariates such as births and vaccination)</w:t>
      </w:r>
      <w:r w:rsidRPr="00150DC7">
        <w:rPr>
          <w:color w:val="000000" w:themeColor="text1"/>
          <w:sz w:val="24"/>
          <w:szCs w:val="24"/>
        </w:rPr>
        <w:t>, we</w:t>
      </w:r>
      <w:r w:rsidR="00D34F62" w:rsidRPr="00150DC7">
        <w:rPr>
          <w:color w:val="000000" w:themeColor="text1"/>
          <w:sz w:val="24"/>
          <w:szCs w:val="24"/>
        </w:rPr>
        <w:t xml:space="preserve"> </w:t>
      </w:r>
      <w:r w:rsidR="00A201BB" w:rsidRPr="00150DC7">
        <w:rPr>
          <w:color w:val="000000" w:themeColor="text1"/>
          <w:sz w:val="24"/>
          <w:szCs w:val="24"/>
        </w:rPr>
        <w:t xml:space="preserve">relate cases in the model </w:t>
      </w:r>
      <w:r w:rsidR="00C94C6C" w:rsidRPr="00150DC7">
        <w:rPr>
          <w:color w:val="000000" w:themeColor="text1"/>
          <w:sz w:val="24"/>
          <w:szCs w:val="24"/>
        </w:rPr>
        <w:t>(</w:t>
      </w:r>
      <w:r w:rsidR="00D34F62" w:rsidRPr="00150DC7">
        <w:rPr>
          <w:color w:val="000000" w:themeColor="text1"/>
          <w:sz w:val="24"/>
          <w:szCs w:val="24"/>
        </w:rPr>
        <w:t xml:space="preserve">denoted here as </w:t>
      </w:r>
      <w:r w:rsidR="00C94C6C" w:rsidRPr="00150DC7">
        <w:rPr>
          <w:color w:val="000000" w:themeColor="text1"/>
          <w:sz w:val="24"/>
          <w:szCs w:val="24"/>
        </w:rPr>
        <w:t xml:space="preserve">C) </w:t>
      </w:r>
      <w:r w:rsidR="00A201BB" w:rsidRPr="00150DC7">
        <w:rPr>
          <w:color w:val="000000" w:themeColor="text1"/>
          <w:sz w:val="24"/>
          <w:szCs w:val="24"/>
        </w:rPr>
        <w:t>with the weekly case data</w:t>
      </w:r>
      <w:r w:rsidR="00C94C6C" w:rsidRPr="00150DC7">
        <w:rPr>
          <w:color w:val="000000" w:themeColor="text1"/>
          <w:sz w:val="24"/>
          <w:szCs w:val="24"/>
        </w:rPr>
        <w:t xml:space="preserve"> (</w:t>
      </w:r>
      <w:r w:rsidR="00D34F62" w:rsidRPr="00150DC7">
        <w:rPr>
          <w:color w:val="000000" w:themeColor="text1"/>
          <w:sz w:val="24"/>
          <w:szCs w:val="24"/>
        </w:rPr>
        <w:t xml:space="preserve">denoted here as </w:t>
      </w:r>
      <w:r w:rsidR="00C94C6C" w:rsidRPr="00150DC7">
        <w:rPr>
          <w:i/>
          <w:color w:val="000000" w:themeColor="text1"/>
          <w:sz w:val="24"/>
          <w:szCs w:val="24"/>
        </w:rPr>
        <w:t>cases</w:t>
      </w:r>
      <w:r w:rsidR="00C94C6C" w:rsidRPr="00150DC7">
        <w:rPr>
          <w:color w:val="000000" w:themeColor="text1"/>
          <w:sz w:val="24"/>
          <w:szCs w:val="24"/>
        </w:rPr>
        <w:t>)</w:t>
      </w:r>
      <w:r w:rsidR="00A201BB" w:rsidRPr="00150DC7">
        <w:rPr>
          <w:color w:val="000000" w:themeColor="text1"/>
          <w:sz w:val="24"/>
          <w:szCs w:val="24"/>
        </w:rPr>
        <w:t xml:space="preserve"> by summing the number </w:t>
      </w:r>
      <m:oMath>
        <m:r>
          <w:rPr>
            <w:rFonts w:ascii="Cambria Math" w:hAnsi="Cambria Math"/>
            <w:color w:val="000000" w:themeColor="text1"/>
            <w:sz w:val="24"/>
            <w:szCs w:val="24"/>
          </w:rPr>
          <m:t>γI</m:t>
        </m:r>
      </m:oMath>
      <w:r w:rsidR="00A201BB" w:rsidRPr="00150DC7">
        <w:rPr>
          <w:color w:val="000000" w:themeColor="text1"/>
          <w:sz w:val="24"/>
          <w:szCs w:val="24"/>
        </w:rPr>
        <w:t xml:space="preserve"> in a seven-day period. We </w:t>
      </w:r>
      <w:r w:rsidR="00C94C6C" w:rsidRPr="00150DC7">
        <w:rPr>
          <w:color w:val="000000" w:themeColor="text1"/>
          <w:sz w:val="24"/>
          <w:szCs w:val="24"/>
        </w:rPr>
        <w:t>model</w:t>
      </w:r>
      <w:r w:rsidR="00A201BB" w:rsidRPr="00150DC7">
        <w:rPr>
          <w:color w:val="000000" w:themeColor="text1"/>
          <w:sz w:val="24"/>
          <w:szCs w:val="24"/>
        </w:rPr>
        <w:t xml:space="preserve"> deaths (D) by </w:t>
      </w:r>
      <m:oMath>
        <m:r>
          <w:rPr>
            <w:rFonts w:ascii="Cambria Math" w:hAnsi="Cambria Math"/>
            <w:color w:val="000000" w:themeColor="text1"/>
            <w:sz w:val="24"/>
            <w:szCs w:val="24"/>
          </w:rPr>
          <m:t>ϕ</m:t>
        </m:r>
      </m:oMath>
      <w:r w:rsidR="00A201BB" w:rsidRPr="00150DC7">
        <w:rPr>
          <w:color w:val="000000" w:themeColor="text1"/>
          <w:sz w:val="24"/>
          <w:szCs w:val="24"/>
        </w:rPr>
        <w:t xml:space="preserve">C, where </w:t>
      </w:r>
      <m:oMath>
        <m:r>
          <w:rPr>
            <w:rFonts w:ascii="Cambria Math" w:hAnsi="Cambria Math"/>
            <w:color w:val="000000" w:themeColor="text1"/>
            <w:sz w:val="24"/>
            <w:szCs w:val="24"/>
          </w:rPr>
          <m:t>ϕ</m:t>
        </m:r>
      </m:oMath>
      <w:r w:rsidR="00A201BB" w:rsidRPr="00150DC7">
        <w:rPr>
          <w:color w:val="000000" w:themeColor="text1"/>
          <w:sz w:val="24"/>
          <w:szCs w:val="24"/>
        </w:rPr>
        <w:t xml:space="preserve"> is the case fatality rate.</w:t>
      </w:r>
      <w:r w:rsidR="00547B82" w:rsidRPr="00150DC7">
        <w:rPr>
          <w:color w:val="000000" w:themeColor="text1"/>
          <w:sz w:val="24"/>
          <w:szCs w:val="24"/>
        </w:rPr>
        <w:t xml:space="preserve"> </w:t>
      </w:r>
      <w:r w:rsidR="00A201BB" w:rsidRPr="00150DC7">
        <w:rPr>
          <w:color w:val="000000" w:themeColor="text1"/>
          <w:sz w:val="24"/>
          <w:szCs w:val="24"/>
        </w:rPr>
        <w:t xml:space="preserve">These model states (C and D) can be </w:t>
      </w:r>
      <w:r w:rsidR="0047521B">
        <w:rPr>
          <w:color w:val="000000" w:themeColor="text1"/>
          <w:sz w:val="24"/>
          <w:szCs w:val="24"/>
        </w:rPr>
        <w:t>further calibrated against</w:t>
      </w:r>
      <w:r w:rsidR="00A201BB" w:rsidRPr="00150DC7">
        <w:rPr>
          <w:color w:val="000000" w:themeColor="text1"/>
          <w:sz w:val="24"/>
          <w:szCs w:val="24"/>
        </w:rPr>
        <w:t xml:space="preserve"> the data </w:t>
      </w:r>
      <w:r w:rsidR="00C94C6C" w:rsidRPr="00150DC7">
        <w:rPr>
          <w:color w:val="000000" w:themeColor="text1"/>
          <w:sz w:val="24"/>
          <w:szCs w:val="24"/>
        </w:rPr>
        <w:t>(</w:t>
      </w:r>
      <w:r w:rsidR="00C94C6C" w:rsidRPr="00150DC7">
        <w:rPr>
          <w:i/>
          <w:color w:val="000000" w:themeColor="text1"/>
          <w:sz w:val="24"/>
          <w:szCs w:val="24"/>
        </w:rPr>
        <w:t>cases</w:t>
      </w:r>
      <w:r w:rsidR="00C94C6C" w:rsidRPr="00150DC7">
        <w:rPr>
          <w:color w:val="000000" w:themeColor="text1"/>
          <w:sz w:val="24"/>
          <w:szCs w:val="24"/>
        </w:rPr>
        <w:t xml:space="preserve"> and </w:t>
      </w:r>
      <w:r w:rsidR="00C94C6C" w:rsidRPr="00150DC7">
        <w:rPr>
          <w:i/>
          <w:color w:val="000000" w:themeColor="text1"/>
          <w:sz w:val="24"/>
          <w:szCs w:val="24"/>
        </w:rPr>
        <w:t>deaths</w:t>
      </w:r>
      <w:r w:rsidR="00C94C6C" w:rsidRPr="00150DC7">
        <w:rPr>
          <w:color w:val="000000" w:themeColor="text1"/>
          <w:sz w:val="24"/>
          <w:szCs w:val="24"/>
        </w:rPr>
        <w:t xml:space="preserve">) </w:t>
      </w:r>
      <w:r w:rsidR="00A201BB" w:rsidRPr="00150DC7">
        <w:rPr>
          <w:color w:val="000000" w:themeColor="text1"/>
          <w:sz w:val="24"/>
          <w:szCs w:val="24"/>
        </w:rPr>
        <w:t>by our choice of likelihood function. Based on</w:t>
      </w:r>
      <w:r w:rsidR="00150DC7" w:rsidRPr="00150DC7">
        <w:rPr>
          <w:color w:val="000000" w:themeColor="text1"/>
          <w:sz w:val="24"/>
          <w:szCs w:val="24"/>
        </w:rPr>
        <w:t xml:space="preserve"> the</w:t>
      </w:r>
      <w:r w:rsidR="00A201BB" w:rsidRPr="00150DC7">
        <w:rPr>
          <w:color w:val="000000" w:themeColor="text1"/>
          <w:sz w:val="24"/>
          <w:szCs w:val="24"/>
        </w:rPr>
        <w:t xml:space="preserve"> work </w:t>
      </w:r>
      <w:r w:rsidR="00150DC7" w:rsidRPr="00150DC7">
        <w:rPr>
          <w:color w:val="000000" w:themeColor="text1"/>
          <w:sz w:val="24"/>
          <w:szCs w:val="24"/>
        </w:rPr>
        <w:t>of</w:t>
      </w:r>
      <w:r w:rsidR="00A201BB" w:rsidRPr="00150DC7">
        <w:rPr>
          <w:color w:val="000000" w:themeColor="text1"/>
          <w:sz w:val="24"/>
          <w:szCs w:val="24"/>
        </w:rPr>
        <w:t xml:space="preserve"> </w:t>
      </w:r>
      <w:r w:rsidR="00A201BB" w:rsidRPr="00150DC7">
        <w:rPr>
          <w:color w:val="000000" w:themeColor="text1"/>
          <w:sz w:val="24"/>
          <w:szCs w:val="24"/>
        </w:rPr>
        <w:fldChar w:fldCharType="begin" w:fldLock="1"/>
      </w:r>
      <w:r w:rsidR="00DF0047">
        <w:rPr>
          <w:color w:val="000000" w:themeColor="text1"/>
          <w:sz w:val="24"/>
          <w:szCs w:val="24"/>
        </w:rPr>
        <w:instrText>ADDIN CSL_CITATION {"citationItems":[{"id":"ITEM-1","itemData":{"DOI":"10.1098/rsif.2009.0151","ISSN":"1742-5689, 1742-5662","PMID":"19535416","abstract":"Statistical inference for mechanistic models of partially observed dynamic systems is an active area of research. Most existing inference methods place substantial restrictions upon the form of models that can be fitted and hence upon the nature of the scientific hypotheses that can be entertained and the data that can be used to evaluate them. In contrast, the so-called plug-and-play methods require only simulations from a model and are thus free of such restrictions. We show the utility of the plug-and-play approach in the context of an investigation of measles transmission dynamics. Our novel methodology enables us to ask and answer questions that previous analyses have been unable to address. Specifically, we demonstrate that plug-and-play methods permit the development of a modelling and inference framework applicable to data from both large and small populations. We thereby obtain novel insights into the nature of heterogeneity in mixing and comment on the importance of including extra-demographic stochasticity as a means of dealing with environmental stochasticity and model misspecification. Our approach is readily applicable to many other epidemiological and ecological systems.","author":[{"dropping-particle":"","family":"He","given":"Daihai","non-dropping-particle":"","parse-names":false,"suffix":""},{"dropping-particle":"","family":"Ionides","given":"Edward L","non-dropping-particle":"","parse-names":false,"suffix":""},{"dropping-particle":"","family":"King","given":"Aaron A","non-dropping-particle":"","parse-names":false,"suffix":""}],"container-title":"Journal of The Royal Society Interface","id":"ITEM-1","issue":"43","issued":{"date-parts":[["2010","2"]]},"page":"271-283","title":"Plug-and-play inference for disease dynamics: measles in large and small populations as a case study","title-short":"Plug-and-play inference for disease dynamics","type":"article-journal","volume":"7"},"uris":["http://www.mendeley.com/documents/?uuid=7f7d2c11-13da-4ec8-bd1d-1f84399741d1"]}],"mendeley":{"formattedCitation":"(&lt;i&gt;1&lt;/i&gt;)","plainTextFormattedCitation":"(1)","previouslyFormattedCitation":"(&lt;i&gt;1&lt;/i&gt;)"},"properties":{"noteIndex":0},"schema":"https://github.com/citation-style-language/schema/raw/master/csl-citation.json"}</w:instrText>
      </w:r>
      <w:r w:rsidR="00A201BB" w:rsidRPr="00150DC7">
        <w:rPr>
          <w:color w:val="000000" w:themeColor="text1"/>
          <w:sz w:val="24"/>
          <w:szCs w:val="24"/>
        </w:rPr>
        <w:fldChar w:fldCharType="separate"/>
      </w:r>
      <w:r w:rsidR="002902ED" w:rsidRPr="00150DC7">
        <w:rPr>
          <w:noProof/>
          <w:color w:val="000000" w:themeColor="text1"/>
          <w:sz w:val="24"/>
          <w:szCs w:val="24"/>
        </w:rPr>
        <w:t>(</w:t>
      </w:r>
      <w:r w:rsidR="002902ED" w:rsidRPr="00150DC7">
        <w:rPr>
          <w:i/>
          <w:noProof/>
          <w:color w:val="000000" w:themeColor="text1"/>
          <w:sz w:val="24"/>
          <w:szCs w:val="24"/>
        </w:rPr>
        <w:t>1</w:t>
      </w:r>
      <w:r w:rsidR="002902ED" w:rsidRPr="00150DC7">
        <w:rPr>
          <w:noProof/>
          <w:color w:val="000000" w:themeColor="text1"/>
          <w:sz w:val="24"/>
          <w:szCs w:val="24"/>
        </w:rPr>
        <w:t>)</w:t>
      </w:r>
      <w:r w:rsidR="00A201BB" w:rsidRPr="00150DC7">
        <w:rPr>
          <w:color w:val="000000" w:themeColor="text1"/>
          <w:sz w:val="24"/>
          <w:szCs w:val="24"/>
        </w:rPr>
        <w:fldChar w:fldCharType="end"/>
      </w:r>
      <w:r w:rsidR="00A201BB" w:rsidRPr="00150DC7">
        <w:rPr>
          <w:color w:val="000000" w:themeColor="text1"/>
          <w:sz w:val="24"/>
          <w:szCs w:val="24"/>
        </w:rPr>
        <w:t>, we assume an over-dispersed binomial model with both the potential for under-reporting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ρ</m:t>
            </m:r>
          </m:e>
          <m:sub>
            <m:r>
              <w:rPr>
                <w:rFonts w:ascii="Cambria Math" w:hAnsi="Cambria Math"/>
                <w:color w:val="000000" w:themeColor="text1"/>
                <w:sz w:val="24"/>
                <w:szCs w:val="24"/>
              </w:rPr>
              <m:t>C</m:t>
            </m:r>
          </m:sub>
        </m:sSub>
      </m:oMath>
      <w:r w:rsidR="00A201BB" w:rsidRPr="00150DC7">
        <w:rPr>
          <w:color w:val="000000" w:themeColor="text1"/>
          <w:sz w:val="24"/>
          <w:szCs w:val="24"/>
        </w:rPr>
        <w:t xml:space="preserve"> or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ρ</m:t>
            </m:r>
          </m:e>
          <m:sub>
            <m:r>
              <w:rPr>
                <w:rFonts w:ascii="Cambria Math" w:hAnsi="Cambria Math"/>
                <w:color w:val="000000" w:themeColor="text1"/>
                <w:sz w:val="24"/>
                <w:szCs w:val="24"/>
              </w:rPr>
              <m:t>D</m:t>
            </m:r>
          </m:sub>
        </m:sSub>
        <m:r>
          <w:rPr>
            <w:rFonts w:ascii="Cambria Math" w:hAnsi="Cambria Math"/>
            <w:color w:val="000000" w:themeColor="text1"/>
            <w:sz w:val="24"/>
            <w:szCs w:val="24"/>
          </w:rPr>
          <m:t xml:space="preserve">) </m:t>
        </m:r>
      </m:oMath>
      <w:r w:rsidR="00A201BB" w:rsidRPr="00150DC7">
        <w:rPr>
          <w:color w:val="000000" w:themeColor="text1"/>
          <w:sz w:val="24"/>
          <w:szCs w:val="24"/>
        </w:rPr>
        <w:t>and measurement error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ψ</m:t>
            </m:r>
          </m:e>
          <m:sub>
            <m:r>
              <w:rPr>
                <w:rFonts w:ascii="Cambria Math" w:hAnsi="Cambria Math"/>
                <w:color w:val="000000" w:themeColor="text1"/>
                <w:sz w:val="24"/>
                <w:szCs w:val="24"/>
              </w:rPr>
              <m:t>C</m:t>
            </m:r>
          </m:sub>
        </m:sSub>
      </m:oMath>
      <w:r w:rsidR="00A201BB" w:rsidRPr="00150DC7">
        <w:rPr>
          <w:color w:val="000000" w:themeColor="text1"/>
          <w:sz w:val="24"/>
          <w:szCs w:val="24"/>
        </w:rPr>
        <w:t xml:space="preserve"> or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ψ</m:t>
            </m:r>
          </m:e>
          <m:sub>
            <m:r>
              <w:rPr>
                <w:rFonts w:ascii="Cambria Math" w:hAnsi="Cambria Math"/>
                <w:color w:val="000000" w:themeColor="text1"/>
                <w:sz w:val="24"/>
                <w:szCs w:val="24"/>
              </w:rPr>
              <m:t>D</m:t>
            </m:r>
          </m:sub>
        </m:sSub>
        <m:r>
          <w:rPr>
            <w:rFonts w:ascii="Cambria Math" w:hAnsi="Cambria Math"/>
            <w:color w:val="000000" w:themeColor="text1"/>
            <w:sz w:val="24"/>
            <w:szCs w:val="24"/>
          </w:rPr>
          <m:t>)</m:t>
        </m:r>
      </m:oMath>
      <w:r w:rsidR="00A201BB" w:rsidRPr="00150DC7">
        <w:rPr>
          <w:color w:val="000000" w:themeColor="text1"/>
          <w:sz w:val="24"/>
          <w:szCs w:val="24"/>
        </w:rPr>
        <w:t>.</w:t>
      </w:r>
    </w:p>
    <w:p w14:paraId="1D3D9ADB" w14:textId="77777777" w:rsidR="00A201BB" w:rsidRPr="00150DC7" w:rsidRDefault="00A201BB" w:rsidP="00A201BB">
      <w:pPr>
        <w:pStyle w:val="TextBody"/>
        <w:ind w:left="0"/>
        <w:rPr>
          <w:rFonts w:ascii="Times New Roman" w:hAnsi="Times New Roman" w:cs="Times New Roman"/>
          <w:color w:val="000000" w:themeColor="text1"/>
        </w:rPr>
      </w:pPr>
    </w:p>
    <w:p w14:paraId="5F6A8798" w14:textId="0170EC92" w:rsidR="00A201BB" w:rsidRPr="00150DC7" w:rsidRDefault="00A201BB" w:rsidP="00A201BB">
      <w:pPr>
        <w:pStyle w:val="TextBody"/>
        <w:ind w:left="0"/>
        <w:rPr>
          <w:rFonts w:ascii="Times New Roman" w:hAnsi="Times New Roman" w:cs="Times New Roman"/>
          <w:color w:val="000000" w:themeColor="text1"/>
        </w:rPr>
      </w:pPr>
      <m:oMathPara>
        <m:oMath>
          <m:r>
            <w:rPr>
              <w:rFonts w:ascii="Cambria Math" w:hAnsi="Cambria Math" w:cs="Times New Roman"/>
              <w:color w:val="000000" w:themeColor="text1"/>
            </w:rPr>
            <m:t>P</m:t>
          </m:r>
          <m:d>
            <m:dPr>
              <m:begChr m:val="["/>
              <m:endChr m:val="|"/>
              <m:ctrlPr>
                <w:rPr>
                  <w:rFonts w:ascii="Cambria Math" w:hAnsi="Cambria Math" w:cs="Times New Roman"/>
                  <w:i/>
                  <w:color w:val="000000" w:themeColor="text1"/>
                </w:rPr>
              </m:ctrlPr>
            </m:dPr>
            <m:e>
              <m:r>
                <w:rPr>
                  <w:rFonts w:ascii="Cambria Math" w:hAnsi="Cambria Math" w:cs="Times New Roman"/>
                  <w:color w:val="000000" w:themeColor="text1"/>
                </w:rPr>
                <m:t xml:space="preserve">cases </m:t>
              </m:r>
            </m:e>
          </m:d>
          <m:r>
            <w:rPr>
              <w:rFonts w:ascii="Cambria Math" w:hAnsi="Cambria Math" w:cs="Times New Roman"/>
              <w:color w:val="000000" w:themeColor="text1"/>
            </w:rPr>
            <m:t>C]=</m:t>
          </m:r>
          <m:r>
            <m:rPr>
              <m:sty m:val="p"/>
            </m:rPr>
            <w:rPr>
              <w:rFonts w:ascii="Cambria Math" w:hAnsi="Cambria Math" w:cs="Times New Roman"/>
              <w:color w:val="000000" w:themeColor="text1"/>
            </w:rPr>
            <m:t>Φ</m:t>
          </m:r>
          <m:d>
            <m:dPr>
              <m:ctrlPr>
                <w:rPr>
                  <w:rFonts w:ascii="Cambria Math" w:hAnsi="Cambria Math" w:cs="Times New Roman"/>
                  <w:i/>
                  <w:color w:val="000000" w:themeColor="text1"/>
                </w:rPr>
              </m:ctrlPr>
            </m:dPr>
            <m:e>
              <m:r>
                <w:rPr>
                  <w:rFonts w:ascii="Cambria Math" w:hAnsi="Cambria Math" w:cs="Times New Roman"/>
                  <w:color w:val="000000" w:themeColor="text1"/>
                </w:rPr>
                <m:t xml:space="preserve">cases+0.5, </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r>
                <w:rPr>
                  <w:rFonts w:ascii="Cambria Math" w:hAnsi="Cambria Math" w:cs="Times New Roman"/>
                  <w:color w:val="000000" w:themeColor="text1"/>
                </w:rPr>
                <m:t>C, ρ</m:t>
              </m:r>
              <m:d>
                <m:dPr>
                  <m:ctrlPr>
                    <w:rPr>
                      <w:rFonts w:ascii="Cambria Math" w:hAnsi="Cambria Math" w:cs="Times New Roman"/>
                      <w:i/>
                      <w:color w:val="000000" w:themeColor="text1"/>
                    </w:rPr>
                  </m:ctrlPr>
                </m:dPr>
                <m:e>
                  <m:r>
                    <w:rPr>
                      <w:rFonts w:ascii="Cambria Math" w:hAnsi="Cambria Math" w:cs="Times New Roman"/>
                      <w:color w:val="000000" w:themeColor="text1"/>
                    </w:rPr>
                    <m:t xml:space="preserve"> 1-</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e>
              </m:d>
              <m:r>
                <w:rPr>
                  <w:rFonts w:ascii="Cambria Math" w:hAnsi="Cambria Math" w:cs="Times New Roman"/>
                  <w:color w:val="000000" w:themeColor="text1"/>
                </w:rPr>
                <m:t xml:space="preserve">C+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ψ</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sSup>
                <m:sSupPr>
                  <m:ctrlPr>
                    <w:rPr>
                      <w:rFonts w:ascii="Cambria Math" w:hAnsi="Cambria Math" w:cs="Times New Roman"/>
                      <w:i/>
                      <w:color w:val="000000" w:themeColor="text1"/>
                    </w:rPr>
                  </m:ctrlPr>
                </m:sSupPr>
                <m:e>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e>
                <m:sup>
                  <m:r>
                    <w:rPr>
                      <w:rFonts w:ascii="Cambria Math" w:hAnsi="Cambria Math" w:cs="Times New Roman"/>
                      <w:color w:val="000000" w:themeColor="text1"/>
                    </w:rPr>
                    <m:t>2</m:t>
                  </m:r>
                </m:sup>
              </m:sSup>
              <m:sSup>
                <m:sSupPr>
                  <m:ctrlPr>
                    <w:rPr>
                      <w:rFonts w:ascii="Cambria Math" w:hAnsi="Cambria Math" w:cs="Times New Roman"/>
                      <w:i/>
                      <w:color w:val="000000" w:themeColor="text1"/>
                    </w:rPr>
                  </m:ctrlPr>
                </m:sSupPr>
                <m:e>
                  <m:r>
                    <w:rPr>
                      <w:rFonts w:ascii="Cambria Math" w:hAnsi="Cambria Math" w:cs="Times New Roman"/>
                      <w:color w:val="000000" w:themeColor="text1"/>
                    </w:rPr>
                    <m:t>C</m:t>
                  </m:r>
                </m:e>
                <m:sup>
                  <m:r>
                    <w:rPr>
                      <w:rFonts w:ascii="Cambria Math" w:hAnsi="Cambria Math" w:cs="Times New Roman"/>
                      <w:color w:val="000000" w:themeColor="text1"/>
                    </w:rPr>
                    <m:t>2</m:t>
                  </m:r>
                </m:sup>
              </m:sSup>
            </m:e>
          </m:d>
          <m:r>
            <w:rPr>
              <w:rFonts w:ascii="Cambria Math" w:hAnsi="Cambria Math" w:cs="Times New Roman"/>
              <w:color w:val="000000" w:themeColor="text1"/>
            </w:rPr>
            <m:t>-</m:t>
          </m:r>
        </m:oMath>
      </m:oMathPara>
    </w:p>
    <w:p w14:paraId="14E0A95D" w14:textId="35A215E7" w:rsidR="00A201BB" w:rsidRPr="00150DC7" w:rsidRDefault="00A201BB" w:rsidP="00A201BB">
      <w:pPr>
        <w:pStyle w:val="TextBody"/>
        <w:ind w:left="0"/>
        <w:rPr>
          <w:rFonts w:ascii="Times New Roman" w:hAnsi="Times New Roman" w:cs="Times New Roman"/>
          <w:color w:val="000000" w:themeColor="text1"/>
        </w:rPr>
      </w:pPr>
      <m:oMathPara>
        <m:oMath>
          <m:r>
            <m:rPr>
              <m:sty m:val="p"/>
            </m:rPr>
            <w:rPr>
              <w:rFonts w:ascii="Cambria Math" w:hAnsi="Cambria Math" w:cs="Times New Roman"/>
              <w:color w:val="000000" w:themeColor="text1"/>
            </w:rPr>
            <m:t>Φ</m:t>
          </m:r>
          <m:r>
            <w:rPr>
              <w:rFonts w:ascii="Cambria Math" w:hAnsi="Cambria Math" w:cs="Times New Roman"/>
              <w:color w:val="000000" w:themeColor="text1"/>
            </w:rPr>
            <m:t xml:space="preserve">(cases- 0.5, </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r>
            <w:rPr>
              <w:rFonts w:ascii="Cambria Math" w:hAnsi="Cambria Math" w:cs="Times New Roman"/>
              <w:color w:val="000000" w:themeColor="text1"/>
            </w:rPr>
            <m:t xml:space="preserve">C, </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d>
            <m:dPr>
              <m:ctrlPr>
                <w:rPr>
                  <w:rFonts w:ascii="Cambria Math" w:hAnsi="Cambria Math" w:cs="Times New Roman"/>
                  <w:i/>
                  <w:color w:val="000000" w:themeColor="text1"/>
                </w:rPr>
              </m:ctrlPr>
            </m:dPr>
            <m:e>
              <m:r>
                <w:rPr>
                  <w:rFonts w:ascii="Cambria Math" w:hAnsi="Cambria Math" w:cs="Times New Roman"/>
                  <w:color w:val="000000" w:themeColor="text1"/>
                </w:rPr>
                <m:t xml:space="preserve"> 1-</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e>
          </m:d>
          <m:r>
            <w:rPr>
              <w:rFonts w:ascii="Cambria Math" w:hAnsi="Cambria Math" w:cs="Times New Roman"/>
              <w:color w:val="000000" w:themeColor="text1"/>
            </w:rPr>
            <m:t xml:space="preserve">C+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ψ</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sSup>
            <m:sSupPr>
              <m:ctrlPr>
                <w:rPr>
                  <w:rFonts w:ascii="Cambria Math" w:hAnsi="Cambria Math" w:cs="Times New Roman"/>
                  <w:i/>
                  <w:color w:val="000000" w:themeColor="text1"/>
                </w:rPr>
              </m:ctrlPr>
            </m:sSupPr>
            <m:e>
              <m:r>
                <w:rPr>
                  <w:rFonts w:ascii="Cambria Math" w:hAnsi="Cambria Math" w:cs="Times New Roman"/>
                  <w:color w:val="000000" w:themeColor="text1"/>
                </w:rPr>
                <m:t>C</m:t>
              </m:r>
            </m:e>
            <m:sup>
              <m:r>
                <w:rPr>
                  <w:rFonts w:ascii="Cambria Math" w:hAnsi="Cambria Math" w:cs="Times New Roman"/>
                  <w:color w:val="000000" w:themeColor="text1"/>
                </w:rPr>
                <m:t>2</m:t>
              </m:r>
            </m:sup>
          </m:sSup>
          <m:r>
            <w:rPr>
              <w:rFonts w:ascii="Cambria Math" w:hAnsi="Cambria Math" w:cs="Times New Roman"/>
              <w:color w:val="000000" w:themeColor="text1"/>
            </w:rPr>
            <m:t>)</m:t>
          </m:r>
        </m:oMath>
      </m:oMathPara>
    </w:p>
    <w:p w14:paraId="09CE11C8" w14:textId="77777777" w:rsidR="00A201BB" w:rsidRPr="00150DC7" w:rsidRDefault="00A201BB" w:rsidP="00A201BB">
      <w:pPr>
        <w:pStyle w:val="TextBody"/>
        <w:ind w:left="0"/>
        <w:rPr>
          <w:rFonts w:ascii="Times New Roman" w:hAnsi="Times New Roman" w:cs="Times New Roman"/>
          <w:color w:val="000000" w:themeColor="text1"/>
        </w:rPr>
      </w:pPr>
    </w:p>
    <w:p w14:paraId="13BC86AA" w14:textId="4221AEF8" w:rsidR="00A201BB" w:rsidRPr="00150DC7" w:rsidRDefault="00A201BB" w:rsidP="00A201BB">
      <w:pPr>
        <w:pStyle w:val="TextBody"/>
        <w:ind w:left="0"/>
        <w:rPr>
          <w:rFonts w:ascii="Times New Roman" w:hAnsi="Times New Roman" w:cs="Times New Roman"/>
          <w:color w:val="000000" w:themeColor="text1"/>
        </w:rPr>
      </w:pPr>
      <w:r w:rsidRPr="00150DC7">
        <w:rPr>
          <w:rFonts w:ascii="Times New Roman" w:hAnsi="Times New Roman" w:cs="Times New Roman"/>
          <w:color w:val="000000" w:themeColor="text1"/>
        </w:rPr>
        <w:t xml:space="preserve">Where </w:t>
      </w:r>
      <m:oMath>
        <m:r>
          <m:rPr>
            <m:sty m:val="p"/>
          </m:rPr>
          <w:rPr>
            <w:rFonts w:ascii="Cambria Math" w:hAnsi="Cambria Math" w:cs="Times New Roman"/>
            <w:color w:val="000000" w:themeColor="text1"/>
          </w:rPr>
          <m:t>Φ</m:t>
        </m:r>
      </m:oMath>
      <w:r w:rsidRPr="00150DC7">
        <w:rPr>
          <w:rFonts w:ascii="Times New Roman" w:hAnsi="Times New Roman" w:cs="Times New Roman"/>
          <w:color w:val="000000" w:themeColor="text1"/>
        </w:rPr>
        <w:t xml:space="preserve"> refers to the cumulative normal distr</w:t>
      </w:r>
      <w:proofErr w:type="spellStart"/>
      <w:r w:rsidRPr="00150DC7">
        <w:rPr>
          <w:rFonts w:ascii="Times New Roman" w:hAnsi="Times New Roman" w:cs="Times New Roman"/>
          <w:color w:val="000000" w:themeColor="text1"/>
        </w:rPr>
        <w:t>ibution</w:t>
      </w:r>
      <w:proofErr w:type="spellEnd"/>
      <w:r w:rsidRPr="00150DC7">
        <w:rPr>
          <w:rFonts w:ascii="Times New Roman" w:hAnsi="Times New Roman" w:cs="Times New Roman"/>
          <w:color w:val="000000" w:themeColor="text1"/>
        </w:rPr>
        <w:t xml:space="preserve">. The likelihood function for </w:t>
      </w:r>
      <w:r w:rsidRPr="00150DC7">
        <w:rPr>
          <w:rFonts w:ascii="Times New Roman" w:hAnsi="Times New Roman" w:cs="Times New Roman"/>
          <w:i/>
          <w:color w:val="000000" w:themeColor="text1"/>
        </w:rPr>
        <w:t>deaths</w:t>
      </w:r>
      <w:r w:rsidRPr="00150DC7">
        <w:rPr>
          <w:rFonts w:ascii="Times New Roman" w:hAnsi="Times New Roman" w:cs="Times New Roman"/>
          <w:color w:val="000000" w:themeColor="text1"/>
        </w:rPr>
        <w:t xml:space="preserve"> is the same, just replacing </w:t>
      </w:r>
      <w:r w:rsidRPr="00150DC7">
        <w:rPr>
          <w:rFonts w:ascii="Times New Roman" w:hAnsi="Times New Roman" w:cs="Times New Roman"/>
          <w:i/>
          <w:color w:val="000000" w:themeColor="text1"/>
        </w:rPr>
        <w:t>cases</w:t>
      </w:r>
      <w:r w:rsidRPr="00150DC7">
        <w:rPr>
          <w:rFonts w:ascii="Times New Roman" w:hAnsi="Times New Roman" w:cs="Times New Roman"/>
          <w:color w:val="000000" w:themeColor="text1"/>
        </w:rPr>
        <w:t xml:space="preserve"> with </w:t>
      </w:r>
      <w:r w:rsidRPr="00150DC7">
        <w:rPr>
          <w:rFonts w:ascii="Times New Roman" w:hAnsi="Times New Roman" w:cs="Times New Roman"/>
          <w:i/>
          <w:color w:val="000000" w:themeColor="text1"/>
        </w:rPr>
        <w:t>deaths</w:t>
      </w:r>
      <w:r w:rsidRPr="00150DC7">
        <w:rPr>
          <w:rFonts w:ascii="Times New Roman" w:hAnsi="Times New Roman" w:cs="Times New Roman"/>
          <w:color w:val="000000" w:themeColor="text1"/>
        </w:rPr>
        <w:t>, and</w:t>
      </w:r>
      <w:r w:rsidR="00150DC7" w:rsidRPr="00150DC7">
        <w:rPr>
          <w:rFonts w:ascii="Times New Roman" w:hAnsi="Times New Roman" w:cs="Times New Roman"/>
          <w:color w:val="000000" w:themeColor="text1"/>
        </w:rPr>
        <w:t xml:space="preserve"> therefore</w:t>
      </w:r>
      <w:r w:rsidRPr="00150DC7">
        <w:rPr>
          <w:rFonts w:ascii="Times New Roman" w:hAnsi="Times New Roman" w:cs="Times New Roman"/>
          <w:color w:val="000000" w:themeColor="text1"/>
        </w:rPr>
        <w:t xml:space="preserve"> C with D. When </w:t>
      </w:r>
      <w:r w:rsidRPr="00150DC7">
        <w:rPr>
          <w:rFonts w:ascii="Times New Roman" w:hAnsi="Times New Roman" w:cs="Times New Roman"/>
          <w:i/>
          <w:color w:val="000000" w:themeColor="text1"/>
        </w:rPr>
        <w:t>cases</w:t>
      </w:r>
      <w:r w:rsidRPr="00150DC7">
        <w:rPr>
          <w:rFonts w:ascii="Times New Roman" w:hAnsi="Times New Roman" w:cs="Times New Roman"/>
          <w:color w:val="000000" w:themeColor="text1"/>
        </w:rPr>
        <w:t xml:space="preserve"> or </w:t>
      </w:r>
      <w:r w:rsidRPr="00150DC7">
        <w:rPr>
          <w:rFonts w:ascii="Times New Roman" w:hAnsi="Times New Roman" w:cs="Times New Roman"/>
          <w:i/>
          <w:color w:val="000000" w:themeColor="text1"/>
        </w:rPr>
        <w:t>deaths</w:t>
      </w:r>
      <w:r w:rsidRPr="00150DC7">
        <w:rPr>
          <w:rFonts w:ascii="Times New Roman" w:hAnsi="Times New Roman" w:cs="Times New Roman"/>
          <w:color w:val="000000" w:themeColor="text1"/>
        </w:rPr>
        <w:t xml:space="preserve"> are zero this function relaxes to:</w:t>
      </w:r>
    </w:p>
    <w:p w14:paraId="4286DA42" w14:textId="77777777" w:rsidR="00A201BB" w:rsidRPr="00150DC7" w:rsidRDefault="00A201BB" w:rsidP="00A201BB">
      <w:pPr>
        <w:pStyle w:val="TextBody"/>
        <w:ind w:left="0"/>
        <w:rPr>
          <w:rFonts w:ascii="Times New Roman" w:hAnsi="Times New Roman" w:cs="Times New Roman"/>
          <w:color w:val="000000" w:themeColor="text1"/>
        </w:rPr>
      </w:pPr>
    </w:p>
    <w:p w14:paraId="4A700026" w14:textId="6737E719" w:rsidR="00A201BB" w:rsidRPr="00150DC7" w:rsidRDefault="00A201BB" w:rsidP="00A201BB">
      <w:pPr>
        <w:pStyle w:val="TextBody"/>
        <w:ind w:left="0"/>
        <w:rPr>
          <w:rFonts w:ascii="Times New Roman" w:hAnsi="Times New Roman" w:cs="Times New Roman"/>
          <w:color w:val="000000" w:themeColor="text1"/>
        </w:rPr>
      </w:pPr>
      <m:oMathPara>
        <m:oMath>
          <m:r>
            <w:rPr>
              <w:rFonts w:ascii="Cambria Math" w:hAnsi="Cambria Math" w:cs="Times New Roman"/>
              <w:color w:val="000000" w:themeColor="text1"/>
            </w:rPr>
            <m:t>P</m:t>
          </m:r>
          <m:d>
            <m:dPr>
              <m:begChr m:val="["/>
              <m:endChr m:val="|"/>
              <m:ctrlPr>
                <w:rPr>
                  <w:rFonts w:ascii="Cambria Math" w:hAnsi="Cambria Math" w:cs="Times New Roman"/>
                  <w:i/>
                  <w:color w:val="000000" w:themeColor="text1"/>
                </w:rPr>
              </m:ctrlPr>
            </m:dPr>
            <m:e>
              <m:r>
                <w:rPr>
                  <w:rFonts w:ascii="Cambria Math" w:hAnsi="Cambria Math" w:cs="Times New Roman"/>
                  <w:color w:val="000000" w:themeColor="text1"/>
                </w:rPr>
                <m:t xml:space="preserve">cases </m:t>
              </m:r>
            </m:e>
          </m:d>
          <m:r>
            <w:rPr>
              <w:rFonts w:ascii="Cambria Math" w:hAnsi="Cambria Math" w:cs="Times New Roman"/>
              <w:color w:val="000000" w:themeColor="text1"/>
            </w:rPr>
            <m:t>C]=</m:t>
          </m:r>
          <m:r>
            <m:rPr>
              <m:sty m:val="p"/>
            </m:rPr>
            <w:rPr>
              <w:rFonts w:ascii="Cambria Math" w:hAnsi="Cambria Math" w:cs="Times New Roman"/>
              <w:color w:val="000000" w:themeColor="text1"/>
            </w:rPr>
            <m:t>Φ</m:t>
          </m:r>
          <m:d>
            <m:dPr>
              <m:ctrlPr>
                <w:rPr>
                  <w:rFonts w:ascii="Cambria Math" w:hAnsi="Cambria Math" w:cs="Times New Roman"/>
                  <w:i/>
                  <w:color w:val="000000" w:themeColor="text1"/>
                </w:rPr>
              </m:ctrlPr>
            </m:dPr>
            <m:e>
              <m:r>
                <w:rPr>
                  <w:rFonts w:ascii="Cambria Math" w:hAnsi="Cambria Math" w:cs="Times New Roman"/>
                  <w:color w:val="000000" w:themeColor="text1"/>
                </w:rPr>
                <m:t xml:space="preserve">cases+0.5, </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r>
                <w:rPr>
                  <w:rFonts w:ascii="Cambria Math" w:hAnsi="Cambria Math" w:cs="Times New Roman"/>
                  <w:color w:val="000000" w:themeColor="text1"/>
                </w:rPr>
                <m:t>C, ρ</m:t>
              </m:r>
              <m:d>
                <m:dPr>
                  <m:ctrlPr>
                    <w:rPr>
                      <w:rFonts w:ascii="Cambria Math" w:hAnsi="Cambria Math" w:cs="Times New Roman"/>
                      <w:i/>
                      <w:color w:val="000000" w:themeColor="text1"/>
                    </w:rPr>
                  </m:ctrlPr>
                </m:dPr>
                <m:e>
                  <m:r>
                    <w:rPr>
                      <w:rFonts w:ascii="Cambria Math" w:hAnsi="Cambria Math" w:cs="Times New Roman"/>
                      <w:color w:val="000000" w:themeColor="text1"/>
                    </w:rPr>
                    <m:t xml:space="preserve"> 1-</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e>
              </m:d>
              <m:r>
                <w:rPr>
                  <w:rFonts w:ascii="Cambria Math" w:hAnsi="Cambria Math" w:cs="Times New Roman"/>
                  <w:color w:val="000000" w:themeColor="text1"/>
                </w:rPr>
                <m:t xml:space="preserve">C+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ψ</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sSup>
                <m:sSupPr>
                  <m:ctrlPr>
                    <w:rPr>
                      <w:rFonts w:ascii="Cambria Math" w:hAnsi="Cambria Math" w:cs="Times New Roman"/>
                      <w:i/>
                      <w:color w:val="000000" w:themeColor="text1"/>
                    </w:rPr>
                  </m:ctrlPr>
                </m:sSupPr>
                <m:e>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e>
                <m:sup>
                  <m:r>
                    <w:rPr>
                      <w:rFonts w:ascii="Cambria Math" w:hAnsi="Cambria Math" w:cs="Times New Roman"/>
                      <w:color w:val="000000" w:themeColor="text1"/>
                    </w:rPr>
                    <m:t>2</m:t>
                  </m:r>
                </m:sup>
              </m:sSup>
              <m:sSup>
                <m:sSupPr>
                  <m:ctrlPr>
                    <w:rPr>
                      <w:rFonts w:ascii="Cambria Math" w:hAnsi="Cambria Math" w:cs="Times New Roman"/>
                      <w:i/>
                      <w:color w:val="000000" w:themeColor="text1"/>
                    </w:rPr>
                  </m:ctrlPr>
                </m:sSupPr>
                <m:e>
                  <m:r>
                    <w:rPr>
                      <w:rFonts w:ascii="Cambria Math" w:hAnsi="Cambria Math" w:cs="Times New Roman"/>
                      <w:color w:val="000000" w:themeColor="text1"/>
                    </w:rPr>
                    <m:t>C</m:t>
                  </m:r>
                </m:e>
                <m:sup>
                  <m:r>
                    <w:rPr>
                      <w:rFonts w:ascii="Cambria Math" w:hAnsi="Cambria Math" w:cs="Times New Roman"/>
                      <w:color w:val="000000" w:themeColor="text1"/>
                    </w:rPr>
                    <m:t>2</m:t>
                  </m:r>
                </m:sup>
              </m:sSup>
            </m:e>
          </m:d>
        </m:oMath>
      </m:oMathPara>
    </w:p>
    <w:p w14:paraId="45C29A68" w14:textId="77777777" w:rsidR="00A201BB" w:rsidRPr="00150DC7" w:rsidRDefault="00A201BB" w:rsidP="00A201BB">
      <w:pPr>
        <w:pStyle w:val="TextBody"/>
        <w:ind w:left="0"/>
        <w:rPr>
          <w:rFonts w:ascii="Times New Roman" w:hAnsi="Times New Roman" w:cs="Times New Roman"/>
          <w:color w:val="000000" w:themeColor="text1"/>
        </w:rPr>
      </w:pPr>
    </w:p>
    <w:p w14:paraId="59028BD8" w14:textId="4572BF62" w:rsidR="00A201BB" w:rsidRPr="002B5935" w:rsidRDefault="00A201BB" w:rsidP="00A201BB">
      <w:pPr>
        <w:pStyle w:val="TextBody"/>
        <w:ind w:left="0"/>
        <w:rPr>
          <w:rFonts w:ascii="Times New Roman" w:hAnsi="Times New Roman" w:cs="Times New Roman"/>
          <w:color w:val="000000" w:themeColor="text1"/>
        </w:rPr>
      </w:pPr>
      <w:r w:rsidRPr="00150DC7">
        <w:rPr>
          <w:rFonts w:ascii="Times New Roman" w:hAnsi="Times New Roman" w:cs="Times New Roman"/>
          <w:color w:val="000000" w:themeColor="text1"/>
        </w:rPr>
        <w:t>To</w:t>
      </w:r>
      <w:r w:rsidR="00150DC7" w:rsidRPr="00150DC7">
        <w:rPr>
          <w:rFonts w:ascii="Times New Roman" w:hAnsi="Times New Roman" w:cs="Times New Roman"/>
          <w:color w:val="000000" w:themeColor="text1"/>
        </w:rPr>
        <w:t xml:space="preserve"> estimate parameters throughout the full time series, and therefore</w:t>
      </w:r>
      <w:r w:rsidRPr="00150DC7">
        <w:rPr>
          <w:rFonts w:ascii="Times New Roman" w:hAnsi="Times New Roman" w:cs="Times New Roman"/>
          <w:color w:val="000000" w:themeColor="text1"/>
        </w:rPr>
        <w:t xml:space="preserve"> combine </w:t>
      </w:r>
      <w:r w:rsidR="00150DC7" w:rsidRPr="00150DC7">
        <w:rPr>
          <w:rFonts w:ascii="Times New Roman" w:hAnsi="Times New Roman" w:cs="Times New Roman"/>
          <w:color w:val="000000" w:themeColor="text1"/>
        </w:rPr>
        <w:t xml:space="preserve">the </w:t>
      </w:r>
      <w:r w:rsidRPr="00150DC7">
        <w:rPr>
          <w:rFonts w:ascii="Times New Roman" w:hAnsi="Times New Roman" w:cs="Times New Roman"/>
          <w:color w:val="000000" w:themeColor="text1"/>
        </w:rPr>
        <w:t xml:space="preserve">case and death data, we switch likelihood functions based on era, such that we only use the </w:t>
      </w:r>
      <w:r w:rsidRPr="00150DC7">
        <w:rPr>
          <w:rFonts w:ascii="Times New Roman" w:hAnsi="Times New Roman" w:cs="Times New Roman"/>
          <w:i/>
          <w:color w:val="000000" w:themeColor="text1"/>
        </w:rPr>
        <w:t>cases</w:t>
      </w:r>
      <w:r w:rsidRPr="00150DC7">
        <w:rPr>
          <w:rFonts w:ascii="Times New Roman" w:hAnsi="Times New Roman" w:cs="Times New Roman"/>
          <w:color w:val="000000" w:themeColor="text1"/>
        </w:rPr>
        <w:t xml:space="preserve"> function after 1940.</w:t>
      </w:r>
      <w:r w:rsidR="00133890" w:rsidRPr="00150DC7">
        <w:rPr>
          <w:rFonts w:ascii="Times New Roman" w:hAnsi="Times New Roman" w:cs="Times New Roman"/>
          <w:color w:val="000000" w:themeColor="text1"/>
        </w:rPr>
        <w:t xml:space="preserve"> This allows parameters to be estimated using the whole era</w:t>
      </w:r>
      <w:r w:rsidR="002B5935">
        <w:rPr>
          <w:rFonts w:ascii="Times New Roman" w:hAnsi="Times New Roman" w:cs="Times New Roman"/>
          <w:color w:val="000000" w:themeColor="text1"/>
        </w:rPr>
        <w:t xml:space="preserve"> as the underlying </w:t>
      </w:r>
      <w:r w:rsidR="002B5935" w:rsidRPr="002B5935">
        <w:rPr>
          <w:rFonts w:ascii="Times New Roman" w:hAnsi="Times New Roman" w:cs="Times New Roman"/>
          <w:i/>
          <w:color w:val="000000" w:themeColor="text1"/>
        </w:rPr>
        <w:t>S</w:t>
      </w:r>
      <w:r w:rsidR="002B5935">
        <w:rPr>
          <w:rFonts w:ascii="Times New Roman" w:hAnsi="Times New Roman" w:cs="Times New Roman"/>
          <w:color w:val="000000" w:themeColor="text1"/>
        </w:rPr>
        <w:t xml:space="preserve">, </w:t>
      </w:r>
      <w:r w:rsidR="002B5935" w:rsidRPr="002B5935">
        <w:rPr>
          <w:rFonts w:ascii="Times New Roman" w:hAnsi="Times New Roman" w:cs="Times New Roman"/>
          <w:i/>
          <w:color w:val="000000" w:themeColor="text1"/>
        </w:rPr>
        <w:t>E</w:t>
      </w:r>
      <w:r w:rsidR="002B5935">
        <w:rPr>
          <w:rFonts w:ascii="Times New Roman" w:hAnsi="Times New Roman" w:cs="Times New Roman"/>
          <w:color w:val="000000" w:themeColor="text1"/>
        </w:rPr>
        <w:t xml:space="preserve">, </w:t>
      </w:r>
      <w:r w:rsidR="002B5935" w:rsidRPr="002B5935">
        <w:rPr>
          <w:rFonts w:ascii="Times New Roman" w:hAnsi="Times New Roman" w:cs="Times New Roman"/>
          <w:i/>
          <w:color w:val="000000" w:themeColor="text1"/>
        </w:rPr>
        <w:t>I</w:t>
      </w:r>
      <w:r w:rsidR="002B5935">
        <w:rPr>
          <w:rFonts w:ascii="Times New Roman" w:hAnsi="Times New Roman" w:cs="Times New Roman"/>
          <w:color w:val="000000" w:themeColor="text1"/>
        </w:rPr>
        <w:t xml:space="preserve">, and </w:t>
      </w:r>
      <w:r w:rsidR="002B5935" w:rsidRPr="002B5935">
        <w:rPr>
          <w:rFonts w:ascii="Times New Roman" w:hAnsi="Times New Roman" w:cs="Times New Roman"/>
          <w:i/>
          <w:color w:val="000000" w:themeColor="text1"/>
        </w:rPr>
        <w:t>R</w:t>
      </w:r>
      <w:r w:rsidR="002B5935">
        <w:rPr>
          <w:rFonts w:ascii="Times New Roman" w:hAnsi="Times New Roman" w:cs="Times New Roman"/>
          <w:i/>
          <w:color w:val="000000" w:themeColor="text1"/>
        </w:rPr>
        <w:t xml:space="preserve"> </w:t>
      </w:r>
      <w:r w:rsidR="002B5935">
        <w:rPr>
          <w:rFonts w:ascii="Times New Roman" w:hAnsi="Times New Roman" w:cs="Times New Roman"/>
          <w:color w:val="000000" w:themeColor="text1"/>
        </w:rPr>
        <w:t>states remain unaffected by the choice of likelihood function.</w:t>
      </w:r>
    </w:p>
    <w:p w14:paraId="091DF8D6" w14:textId="0033B18C" w:rsidR="00412987" w:rsidRPr="00150DC7" w:rsidRDefault="00412987" w:rsidP="0083544A">
      <w:pPr>
        <w:rPr>
          <w:color w:val="000000" w:themeColor="text1"/>
          <w:sz w:val="24"/>
          <w:szCs w:val="24"/>
        </w:rPr>
      </w:pPr>
    </w:p>
    <w:p w14:paraId="045CA741" w14:textId="22B6223A" w:rsidR="00150DC7" w:rsidRDefault="00150DC7" w:rsidP="00AD04C3">
      <w:pPr>
        <w:rPr>
          <w:color w:val="000000" w:themeColor="text1"/>
          <w:sz w:val="24"/>
          <w:szCs w:val="24"/>
        </w:rPr>
      </w:pPr>
      <w:r w:rsidRPr="00150DC7">
        <w:rPr>
          <w:color w:val="000000" w:themeColor="text1"/>
          <w:sz w:val="24"/>
          <w:szCs w:val="24"/>
        </w:rPr>
        <w:t xml:space="preserve">Using the above model and likelihood formulation, we estimated parameters using the Iterated Filter algorithm </w:t>
      </w:r>
      <w:r w:rsidR="00AD04C3" w:rsidRPr="00150DC7">
        <w:rPr>
          <w:color w:val="000000" w:themeColor="text1"/>
          <w:sz w:val="24"/>
          <w:szCs w:val="24"/>
        </w:rPr>
        <w:t xml:space="preserve">implemented in the pomp R package </w:t>
      </w:r>
      <w:r w:rsidR="00AD04C3" w:rsidRPr="00150DC7">
        <w:rPr>
          <w:color w:val="000000" w:themeColor="text1"/>
          <w:sz w:val="24"/>
          <w:szCs w:val="24"/>
        </w:rPr>
        <w:fldChar w:fldCharType="begin" w:fldLock="1"/>
      </w:r>
      <w:r w:rsidR="00DF0047">
        <w:rPr>
          <w:color w:val="000000" w:themeColor="text1"/>
          <w:sz w:val="24"/>
          <w:szCs w:val="24"/>
        </w:rPr>
        <w:instrText>ADDIN CSL_CITATION {"citationItems":[{"id":"ITEM-1","itemData":{"DOI":"10.18637/jss.v069.i12","ISSN":"1548-7660","abstract":"Partially observed Markov process (POMP) models, also known as hidden Markov models or state space models, are ubiquitous tools for time series analysis. The R package pomp provides a very flexible framework for Monte Carlo statistical investigations using nonlinear, non-Gaussian POMP models. A range of modern statistical methods for POMP models have been implemented in this framework including sequential Monte Carlo, iterated filtering, particle Markov chain Monte Carlo, approximate Bayesian computation, maximum synthetic likelihood estimation, nonlinear forecasting, and trajectory matching. In this paper, we demonstrate the application of these methodologies using some simple toy problems. We also illustrate the specification of more complex POMP models, using a nonlinear epidemiological model with a discrete population, seasonality, and extra-demographic stochasticity. We discuss the specification of user-defined models and the development of additional methods within the programming environment provided by pomp.","author":[{"dropping-particle":"","family":"King","given":"Aaron A.","non-dropping-particle":"","parse-names":false,"suffix":""},{"dropping-particle":"","family":"Nguyen","given":"Dao","non-dropping-particle":"","parse-names":false,"suffix":""},{"dropping-particle":"","family":"Ionides","given":"Edward L.","non-dropping-particle":"","parse-names":false,"suffix":""}],"container-title":"Journal of Statistical Software","id":"ITEM-1","issue":"12","issued":{"date-parts":[["2016","3","29"]]},"page":"1-43","title":"Statistical Inference for Partially Observed Markov Processes via the &lt;i&gt;R&lt;/i&gt; Package &lt;b&gt;pomp&lt;/b&gt;","type":"article-journal","volume":"69"},"uris":["http://www.mendeley.com/documents/?uuid=b7205aaa-4482-3a4d-beb0-6aa6f6c55f09"]},{"id":"ITEM-2","itemData":{"abstract":"Inference methods for partially observed Markov processes (AKA stochastic dynamical systems, state-space models).","author":[{"dropping-particle":"","family":"King","given":"Aaron A","non-dropping-particle":"","parse-names":false,"suffix":""},{"dropping-particle":"","family":"Ionides","given":"Edward L","non-dropping-particle":"","parse-names":false,"suffix":""},{"dropping-particle":"","family":"Breto","given":"Carles","non-dropping-particle":"","parse-names":false,"suffix":""},{"dropping-particle":"","family":"Ellner","given":"Stephen P","non-dropping-particle":"","parse-names":false,"suffix":""},{"dropping-particle":"","family":"Ferrari","given":"Matthew J","non-dropping-particle":"","parse-names":false,"suffix":""},{"dropping-particle":"","family":"Kendall","given":"Bruce E","non-dropping-particle":"","parse-names":false,"suffix":""},{"dropping-particle":"","family":"Lavine","given":"Michael","non-dropping-particle":"","parse-names":false,"suffix":""},{"dropping-particle":"","family":"Nguyen","given":"Dao","non-dropping-particle":"","parse-names":false,"suffix":""},{"dropping-particle":"","family":"Reuman","given":"Daniel C","non-dropping-particle":"","parse-names":false,"suffix":""},{"dropping-particle":"","family":"Wearing","given":"Helen","non-dropping-particle":"","parse-names":false,"suffix":""},{"dropping-particle":"","family":"Wood","given":"Simon N","non-dropping-particle":"","parse-names":false,"suffix":""}],"id":"ITEM-2","issued":{"date-parts":[["2015","6"]]},"title":"pomp: Statistical Inference for Partially Observed Markov Processes","title-short":"pomp","type":"article"},"uris":["http://www.mendeley.com/documents/?uuid=6e560c40-a797-4fb7-bc5d-048505ce31e0"]}],"mendeley":{"formattedCitation":"(&lt;i&gt;2&lt;/i&gt;, &lt;i&gt;3&lt;/i&gt;)","plainTextFormattedCitation":"(2, 3)","previouslyFormattedCitation":"(&lt;i&gt;2&lt;/i&gt;, &lt;i&gt;3&lt;/i&gt;)"},"properties":{"noteIndex":0},"schema":"https://github.com/citation-style-language/schema/raw/master/csl-citation.json"}</w:instrText>
      </w:r>
      <w:r w:rsidR="00AD04C3" w:rsidRPr="00150DC7">
        <w:rPr>
          <w:color w:val="000000" w:themeColor="text1"/>
          <w:sz w:val="24"/>
          <w:szCs w:val="24"/>
        </w:rPr>
        <w:fldChar w:fldCharType="separate"/>
      </w:r>
      <w:r w:rsidR="002902ED" w:rsidRPr="00150DC7">
        <w:rPr>
          <w:noProof/>
          <w:color w:val="000000" w:themeColor="text1"/>
          <w:sz w:val="24"/>
          <w:szCs w:val="24"/>
        </w:rPr>
        <w:t>(</w:t>
      </w:r>
      <w:r w:rsidR="002902ED" w:rsidRPr="00150DC7">
        <w:rPr>
          <w:i/>
          <w:noProof/>
          <w:color w:val="000000" w:themeColor="text1"/>
          <w:sz w:val="24"/>
          <w:szCs w:val="24"/>
        </w:rPr>
        <w:t>2</w:t>
      </w:r>
      <w:r w:rsidR="002902ED" w:rsidRPr="00150DC7">
        <w:rPr>
          <w:noProof/>
          <w:color w:val="000000" w:themeColor="text1"/>
          <w:sz w:val="24"/>
          <w:szCs w:val="24"/>
        </w:rPr>
        <w:t xml:space="preserve">, </w:t>
      </w:r>
      <w:r w:rsidR="002902ED" w:rsidRPr="00150DC7">
        <w:rPr>
          <w:i/>
          <w:noProof/>
          <w:color w:val="000000" w:themeColor="text1"/>
          <w:sz w:val="24"/>
          <w:szCs w:val="24"/>
        </w:rPr>
        <w:t>3</w:t>
      </w:r>
      <w:r w:rsidR="002902ED" w:rsidRPr="00150DC7">
        <w:rPr>
          <w:noProof/>
          <w:color w:val="000000" w:themeColor="text1"/>
          <w:sz w:val="24"/>
          <w:szCs w:val="24"/>
        </w:rPr>
        <w:t>)</w:t>
      </w:r>
      <w:r w:rsidR="00AD04C3" w:rsidRPr="00150DC7">
        <w:rPr>
          <w:color w:val="000000" w:themeColor="text1"/>
          <w:sz w:val="24"/>
          <w:szCs w:val="24"/>
        </w:rPr>
        <w:fldChar w:fldCharType="end"/>
      </w:r>
      <w:r w:rsidR="00AD04C3" w:rsidRPr="00150DC7">
        <w:rPr>
          <w:color w:val="000000" w:themeColor="text1"/>
          <w:sz w:val="24"/>
          <w:szCs w:val="24"/>
        </w:rPr>
        <w:t xml:space="preserve">. A brief qualitative overview of the algorithm follows, although a more exhaustive theoretical background can be found in </w:t>
      </w:r>
      <w:r w:rsidR="00AD04C3" w:rsidRPr="00150DC7">
        <w:rPr>
          <w:color w:val="000000" w:themeColor="text1"/>
          <w:sz w:val="24"/>
          <w:szCs w:val="24"/>
        </w:rPr>
        <w:fldChar w:fldCharType="begin" w:fldLock="1"/>
      </w:r>
      <w:r w:rsidR="00DF0047">
        <w:rPr>
          <w:color w:val="000000" w:themeColor="text1"/>
          <w:sz w:val="24"/>
          <w:szCs w:val="24"/>
        </w:rPr>
        <w:instrText>ADDIN CSL_CITATION {"citationItems":[{"id":"ITEM-1","itemData":{"DOI":"10.1214/08-AOAS201","abstract":"The purpose of time series analysis via mechanistic models is to reconcile the known or hypothesized structure of a dynamical sys-tem with observations collected over time. We develop a framework for constructing nonlinear mechanistic models and carrying out infer-ence. Our framework permits the consideration of implicit dynamic models, meaning statistical models for stochastic dynamical systems which are specified by a simulation algorithm to generate sample paths. Inference procedures that operate on implicit models are said to have the plug-and-play property. Our work builds on recently de-veloped plug-and-play inference methodology for partially observed Markov models. We introduce a class of implicitly specified Markov chains with stochastic transition rates, and we demonstrate its ap-plicability to open problems in statistical inference for biological sys-tems. As one example, these models are shown to give a fresh per-spective on measles transmission dynamics. As a second example, we present a mechanistic analysis of cholera incidence data, involving interaction between two competing strains of the pathogen Vibrio cholerae.","author":[{"dropping-particle":"","family":"Bretó","given":"Carles","non-dropping-particle":"","parse-names":false,"suffix":""},{"dropping-particle":"","family":"He","given":"Daihai","non-dropping-particle":"","parse-names":false,"suffix":""},{"dropping-particle":"","family":"Ionides","given":"Edward L","non-dropping-particle":"","parse-names":false,"suffix":""},{"dropping-particle":"","family":"King","given":"Aaron A","non-dropping-particle":"","parse-names":false,"suffix":""}],"container-title":"The Annals of Applied Statistics","id":"ITEM-1","issue":"1","issued":{"date-parts":[["2009"]]},"page":"319-348","title":"TIME SERIES ANALYSIS VIA MECHANISTIC MODELS","type":"article-journal","volume":"3"},"uris":["http://www.mendeley.com/documents/?uuid=54629f43-83ef-3b5f-90c4-38c86c48eff1"]},{"id":"ITEM-2","itemData":{"DOI":"10.1073/pnas.0603181103","ISSN":"0027-8424","PMID":"17121996","abstract":"Nonlinear stochastic dynamical systems are widely used to model systems across the sciences and engineering. Such models are natural to formulate and can be analyzed mathematically and numerically. However, difficulties associated with inference from time-series data about unknown parameters in these models have been a constraint on their application. We present a new method that makes maximum likelihood estimation feasible for partially-observed nonlinear stochastic dynamical systems (also known as state-space models) where this was not previously the case. The method is based on a sequence of filtering operations which are shown to converge to a maximum likelihood parameter estimate. We make use of recent advances in nonlinear filtering in the implementation of the algorithm. We apply the method to the study of cholera in Bangladesh. We construct confidence intervals, perform residual analysis, and apply other diagnostics. Our analysis, based upon a model capturing the intrinsic nonlinear dynamics of the system, reveals some effects overlooked by previous studies.","author":[{"dropping-particle":"","family":"Ionides","given":"E L","non-dropping-particle":"","parse-names":false,"suffix":""},{"dropping-particle":"","family":"Bretó","given":"C","non-dropping-particle":"","parse-names":false,"suffix":""},{"dropping-particle":"","family":"King","given":"A A","non-dropping-particle":"","parse-names":false,"suffix":""}],"container-title":"Proceedings of the National Academy of Sciences of the United States of America","id":"ITEM-2","issue":"49","issued":{"date-parts":[["2006","12"]]},"page":"18438-18443","title":"Inference for nonlinear dynamical systems","type":"article-journal","volume":"103"},"uris":["http://www.mendeley.com/documents/?uuid=d071e815-cf69-408c-a202-acf9bb481b5c"]}],"mendeley":{"formattedCitation":"(&lt;i&gt;4&lt;/i&gt;, &lt;i&gt;5&lt;/i&gt;)","plainTextFormattedCitation":"(4, 5)","previouslyFormattedCitation":"(&lt;i&gt;4&lt;/i&gt;, &lt;i&gt;5&lt;/i&gt;)"},"properties":{"noteIndex":0},"schema":"https://github.com/citation-style-language/schema/raw/master/csl-citation.json"}</w:instrText>
      </w:r>
      <w:r w:rsidR="00AD04C3" w:rsidRPr="00150DC7">
        <w:rPr>
          <w:color w:val="000000" w:themeColor="text1"/>
          <w:sz w:val="24"/>
          <w:szCs w:val="24"/>
        </w:rPr>
        <w:fldChar w:fldCharType="separate"/>
      </w:r>
      <w:r w:rsidR="002902ED" w:rsidRPr="00150DC7">
        <w:rPr>
          <w:noProof/>
          <w:color w:val="000000" w:themeColor="text1"/>
          <w:sz w:val="24"/>
          <w:szCs w:val="24"/>
        </w:rPr>
        <w:t>(</w:t>
      </w:r>
      <w:r w:rsidR="002902ED" w:rsidRPr="00150DC7">
        <w:rPr>
          <w:i/>
          <w:noProof/>
          <w:color w:val="000000" w:themeColor="text1"/>
          <w:sz w:val="24"/>
          <w:szCs w:val="24"/>
        </w:rPr>
        <w:t>4</w:t>
      </w:r>
      <w:r w:rsidR="002902ED" w:rsidRPr="00150DC7">
        <w:rPr>
          <w:noProof/>
          <w:color w:val="000000" w:themeColor="text1"/>
          <w:sz w:val="24"/>
          <w:szCs w:val="24"/>
        </w:rPr>
        <w:t xml:space="preserve">, </w:t>
      </w:r>
      <w:r w:rsidR="002902ED" w:rsidRPr="00150DC7">
        <w:rPr>
          <w:i/>
          <w:noProof/>
          <w:color w:val="000000" w:themeColor="text1"/>
          <w:sz w:val="24"/>
          <w:szCs w:val="24"/>
        </w:rPr>
        <w:t>5</w:t>
      </w:r>
      <w:r w:rsidR="002902ED" w:rsidRPr="00150DC7">
        <w:rPr>
          <w:noProof/>
          <w:color w:val="000000" w:themeColor="text1"/>
          <w:sz w:val="24"/>
          <w:szCs w:val="24"/>
        </w:rPr>
        <w:t>)</w:t>
      </w:r>
      <w:r w:rsidR="00AD04C3" w:rsidRPr="00150DC7">
        <w:rPr>
          <w:color w:val="000000" w:themeColor="text1"/>
          <w:sz w:val="24"/>
          <w:szCs w:val="24"/>
        </w:rPr>
        <w:fldChar w:fldCharType="end"/>
      </w:r>
      <w:r w:rsidR="00AD04C3" w:rsidRPr="00150DC7">
        <w:rPr>
          <w:color w:val="000000" w:themeColor="text1"/>
          <w:sz w:val="24"/>
          <w:szCs w:val="24"/>
        </w:rPr>
        <w:t xml:space="preserve">. </w:t>
      </w:r>
    </w:p>
    <w:p w14:paraId="0CEF99C0" w14:textId="77777777" w:rsidR="00150DC7" w:rsidRDefault="00150DC7" w:rsidP="00AD04C3">
      <w:pPr>
        <w:rPr>
          <w:color w:val="000000" w:themeColor="text1"/>
          <w:sz w:val="24"/>
          <w:szCs w:val="24"/>
        </w:rPr>
      </w:pPr>
    </w:p>
    <w:p w14:paraId="710063FB" w14:textId="208ABB3D" w:rsidR="00150DC7" w:rsidRDefault="00AD04C3" w:rsidP="00AD04C3">
      <w:pPr>
        <w:rPr>
          <w:color w:val="000000" w:themeColor="text1"/>
          <w:sz w:val="24"/>
          <w:szCs w:val="24"/>
        </w:rPr>
      </w:pPr>
      <w:r w:rsidRPr="00150DC7">
        <w:rPr>
          <w:color w:val="000000" w:themeColor="text1"/>
          <w:sz w:val="24"/>
          <w:szCs w:val="24"/>
        </w:rPr>
        <w:t xml:space="preserve">The central idea of the algorithm is to allow parameters of interest </w:t>
      </w:r>
      <w:r w:rsidR="00150DC7">
        <w:rPr>
          <w:color w:val="000000" w:themeColor="text1"/>
          <w:sz w:val="24"/>
          <w:szCs w:val="24"/>
        </w:rPr>
        <w:t xml:space="preserve">(e.g.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oMath>
      <w:r w:rsidR="00150DC7">
        <w:rPr>
          <w:rFonts w:eastAsiaTheme="minorEastAsia"/>
          <w:color w:val="000000" w:themeColor="text1"/>
          <w:sz w:val="24"/>
          <w:szCs w:val="24"/>
        </w:rPr>
        <w:t>)</w:t>
      </w:r>
      <w:r w:rsidR="00150DC7">
        <w:rPr>
          <w:color w:val="000000" w:themeColor="text1"/>
          <w:sz w:val="24"/>
          <w:szCs w:val="24"/>
        </w:rPr>
        <w:t xml:space="preserve"> </w:t>
      </w:r>
      <w:r w:rsidRPr="00150DC7">
        <w:rPr>
          <w:color w:val="000000" w:themeColor="text1"/>
          <w:sz w:val="24"/>
          <w:szCs w:val="24"/>
        </w:rPr>
        <w:t>to take random walks with a fixed standard deviation</w:t>
      </w:r>
      <w:r w:rsidR="002B5935">
        <w:rPr>
          <w:color w:val="000000" w:themeColor="text1"/>
          <w:sz w:val="24"/>
          <w:szCs w:val="24"/>
        </w:rPr>
        <w:t xml:space="preserve"> (set here to be 0.02 in exponentially transformed space)</w:t>
      </w:r>
      <w:r w:rsidR="00150DC7">
        <w:rPr>
          <w:color w:val="000000" w:themeColor="text1"/>
          <w:sz w:val="24"/>
          <w:szCs w:val="24"/>
        </w:rPr>
        <w:t>. Each iteration,</w:t>
      </w:r>
      <w:r w:rsidR="00DF0047">
        <w:rPr>
          <w:color w:val="000000" w:themeColor="text1"/>
          <w:sz w:val="24"/>
          <w:szCs w:val="24"/>
        </w:rPr>
        <w:t xml:space="preserve"> </w:t>
      </w:r>
      <w:r w:rsidR="00150DC7">
        <w:rPr>
          <w:color w:val="000000" w:themeColor="text1"/>
          <w:sz w:val="24"/>
          <w:szCs w:val="24"/>
        </w:rPr>
        <w:t xml:space="preserve">stochastic trajectories are simulated from these random walks, and compared against the data using the above likelihood functions. To obtain convergence and to smooth the likelihood surface (to avoid local minima / maxima), we reduce the variance by 50% over the course of our 50 iterations. Repeating this process for a number of starting </w:t>
      </w:r>
      <w:proofErr w:type="gramStart"/>
      <w:r w:rsidR="00150DC7">
        <w:rPr>
          <w:color w:val="000000" w:themeColor="text1"/>
          <w:sz w:val="24"/>
          <w:szCs w:val="24"/>
        </w:rPr>
        <w:t>parameter</w:t>
      </w:r>
      <w:proofErr w:type="gramEnd"/>
      <w:r w:rsidR="00150DC7">
        <w:rPr>
          <w:color w:val="000000" w:themeColor="text1"/>
          <w:sz w:val="24"/>
          <w:szCs w:val="24"/>
        </w:rPr>
        <w:t xml:space="preserve"> sets (</w:t>
      </w:r>
      <w:r w:rsidR="002B5935">
        <w:rPr>
          <w:color w:val="000000" w:themeColor="text1"/>
          <w:sz w:val="24"/>
          <w:szCs w:val="24"/>
        </w:rPr>
        <w:t>here we</w:t>
      </w:r>
      <w:r w:rsidR="00150DC7">
        <w:rPr>
          <w:color w:val="000000" w:themeColor="text1"/>
          <w:sz w:val="24"/>
          <w:szCs w:val="24"/>
        </w:rPr>
        <w:t xml:space="preserve"> use 1,000), allows us to explore the parameter space.</w:t>
      </w:r>
    </w:p>
    <w:p w14:paraId="2D883AC2" w14:textId="76046C9E" w:rsidR="00150DC7" w:rsidRDefault="00150DC7" w:rsidP="00AD04C3">
      <w:pPr>
        <w:rPr>
          <w:color w:val="000000" w:themeColor="text1"/>
          <w:sz w:val="24"/>
          <w:szCs w:val="24"/>
        </w:rPr>
      </w:pPr>
    </w:p>
    <w:p w14:paraId="0BD3B0BA" w14:textId="2DD17DEC" w:rsidR="00AD04C3" w:rsidRDefault="00150DC7" w:rsidP="000E42DC">
      <w:pPr>
        <w:rPr>
          <w:color w:val="000000" w:themeColor="text1"/>
          <w:sz w:val="24"/>
          <w:szCs w:val="24"/>
        </w:rPr>
      </w:pPr>
      <w:r>
        <w:rPr>
          <w:color w:val="000000" w:themeColor="text1"/>
          <w:sz w:val="24"/>
          <w:szCs w:val="24"/>
        </w:rPr>
        <w:t xml:space="preserve">Once the iterations are complete, we are left with parameters and their associated likelihood estimates (computed again from the above function). The maximum likelihood estimate (MLE) is our model estimate. We can evaluate our MLE by re simulating the model (described above) </w:t>
      </w:r>
      <w:r>
        <w:rPr>
          <w:color w:val="000000" w:themeColor="text1"/>
          <w:sz w:val="24"/>
          <w:szCs w:val="24"/>
        </w:rPr>
        <w:lastRenderedPageBreak/>
        <w:t>using these new parameters</w:t>
      </w:r>
      <w:r w:rsidR="000E42DC">
        <w:rPr>
          <w:color w:val="000000" w:themeColor="text1"/>
          <w:sz w:val="24"/>
          <w:szCs w:val="24"/>
        </w:rPr>
        <w:t>. Notably, the simulations produced by the fitted model (as shown in Figures 2-4) occur after the fitting process itself.</w:t>
      </w:r>
    </w:p>
    <w:p w14:paraId="63699682" w14:textId="64BFEB7E" w:rsidR="00AD04C3" w:rsidRDefault="00AD04C3" w:rsidP="0083544A">
      <w:pPr>
        <w:rPr>
          <w:color w:val="000000" w:themeColor="text1"/>
          <w:sz w:val="24"/>
          <w:szCs w:val="24"/>
        </w:rPr>
      </w:pPr>
    </w:p>
    <w:p w14:paraId="1C5A50A4" w14:textId="77777777" w:rsidR="00AD04C3" w:rsidRPr="00D85C1B" w:rsidRDefault="00AD04C3" w:rsidP="00AD04C3">
      <w:pPr>
        <w:rPr>
          <w:i/>
          <w:color w:val="000000" w:themeColor="text1"/>
          <w:sz w:val="24"/>
          <w:szCs w:val="24"/>
        </w:rPr>
      </w:pPr>
      <w:r w:rsidRPr="00D85C1B">
        <w:rPr>
          <w:i/>
          <w:color w:val="000000" w:themeColor="text1"/>
          <w:sz w:val="24"/>
          <w:szCs w:val="24"/>
        </w:rPr>
        <w:t xml:space="preserve">Estimated parameters </w:t>
      </w:r>
    </w:p>
    <w:p w14:paraId="4FD45674" w14:textId="77777777" w:rsidR="00AD04C3" w:rsidRPr="00D85C1B" w:rsidRDefault="00AD04C3" w:rsidP="00AD04C3">
      <w:pPr>
        <w:rPr>
          <w:i/>
          <w:color w:val="000000" w:themeColor="text1"/>
          <w:sz w:val="24"/>
          <w:szCs w:val="24"/>
        </w:rPr>
      </w:pPr>
    </w:p>
    <w:p w14:paraId="200586CB" w14:textId="1ECED1E4" w:rsidR="00AD04C3" w:rsidRPr="00D85C1B" w:rsidRDefault="00AD04C3" w:rsidP="00AD04C3">
      <w:pPr>
        <w:rPr>
          <w:color w:val="000000" w:themeColor="text1"/>
          <w:sz w:val="24"/>
          <w:szCs w:val="24"/>
        </w:rPr>
      </w:pPr>
      <w:r w:rsidRPr="00D85C1B">
        <w:rPr>
          <w:color w:val="000000" w:themeColor="text1"/>
          <w:sz w:val="24"/>
          <w:szCs w:val="24"/>
        </w:rPr>
        <w:t xml:space="preserve">Generally, the estimated parameters in our analysis agree with previous inferences. The initial conditions (fitted just once in 1897) are similar to those estimated by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{"citationItems":[{"id":"ITEM-1","itemData":{"DOI":"10.1098/rsif.2009.0151","ISSN":"1742-5689, 1742-5662","PMID":"19535416","abstract":"Statistical inference for mechanistic models of partially observed dynamic systems is an active area of research. Most existing inference methods place substantial restrictions upon the form of models that can be fitted and hence upon the nature of the scientific hypotheses that can be entertained and the data that can be used to evaluate them. In contrast, the so-called plug-and-play methods require only simulations from a model and are thus free of such restrictions. We show the utility of the plug-and-play approach in the context of an investigation of measles transmission dynamics. Our novel methodology enables us to ask and answer questions that previous analyses have been unable to address. Specifically, we demonstrate that plug-and-play methods permit the development of a modelling and inference framework applicable to data from both large and small populations. We thereby obtain novel insights into the nature of heterogeneity in mixing and comment on the importance of including extra-demographic stochasticity as a means of dealing with environmental stochasticity and model misspecification. Our approach is readily applicable to many other epidemiological and ecological systems.","author":[{"dropping-particle":"","family":"He","given":"Daihai","non-dropping-particle":"","parse-names":false,"suffix":""},{"dropping-particle":"","family":"Ionides","given":"Edward L","non-dropping-particle":"","parse-names":false,"suffix":""},{"dropping-particle":"","family":"King","given":"Aaron A","non-dropping-particle":"","parse-names":false,"suffix":""}],"container-title":"Journal of The Royal Society Interface","id":"ITEM-1","issue":"43","issued":{"date-parts":[["2010","2"]]},"page":"271-283","title":"Plug-and-play inference for disease dynamics: measles in large and small populations as a case study","title-short":"Plug-and-play inference for disease dynamics","type":"article-journal","volume":"7"},"uris":["http://www.mendeley.com/documents/?uuid=7f7d2c11-13da-4ec8-bd1d-1f84399741d1"]}],"mendeley":{"formattedCitation":"(&lt;i&gt;1&lt;/i&gt;)","plainTextFormattedCitation":"(1)","previouslyFormattedCitation":"(&lt;i&gt;1&lt;/i&gt;)"},"properties":{"noteIndex":0},"schema":"https://github.com/citation-style-language/schema/raw/master/csl-citation.json"}</w:instrText>
      </w:r>
      <w:r w:rsidRPr="00D85C1B">
        <w:rPr>
          <w:color w:val="000000" w:themeColor="text1"/>
          <w:sz w:val="24"/>
          <w:szCs w:val="24"/>
        </w:rPr>
        <w:fldChar w:fldCharType="separate"/>
      </w:r>
      <w:bookmarkStart w:id="0" w:name="__Fieldmark__2558_462406275"/>
      <w:r w:rsidR="002902ED" w:rsidRPr="002902ED">
        <w:rPr>
          <w:noProof/>
          <w:color w:val="000000" w:themeColor="text1"/>
          <w:sz w:val="24"/>
          <w:szCs w:val="24"/>
        </w:rPr>
        <w:t>(</w:t>
      </w:r>
      <w:r w:rsidR="002902ED" w:rsidRPr="002902ED">
        <w:rPr>
          <w:i/>
          <w:noProof/>
          <w:color w:val="000000" w:themeColor="text1"/>
          <w:sz w:val="24"/>
          <w:szCs w:val="24"/>
        </w:rPr>
        <w:t>1</w:t>
      </w:r>
      <w:r w:rsidR="002902ED" w:rsidRPr="002902ED">
        <w:rPr>
          <w:noProof/>
          <w:color w:val="000000" w:themeColor="text1"/>
          <w:sz w:val="24"/>
          <w:szCs w:val="24"/>
        </w:rPr>
        <w:t>)</w:t>
      </w:r>
      <w:r w:rsidRPr="00D85C1B">
        <w:rPr>
          <w:color w:val="000000" w:themeColor="text1"/>
          <w:sz w:val="24"/>
          <w:szCs w:val="24"/>
        </w:rPr>
        <w:fldChar w:fldCharType="end"/>
      </w:r>
      <w:bookmarkEnd w:id="0"/>
      <w:r w:rsidRPr="00D85C1B">
        <w:rPr>
          <w:color w:val="000000" w:themeColor="text1"/>
          <w:sz w:val="24"/>
          <w:szCs w:val="24"/>
        </w:rPr>
        <w:t xml:space="preserve"> using the same framework, as well as those estimated by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{"citationItems":[{"id":"ITEM-1","itemData":{"DOI":"10.2307/3100023","ISSN":"0012-9615","author":[{"dropping-particle":"","family":"Bjørnstad","given":"Ottar N","non-dropping-particle":"","parse-names":false,"suffix":""},{"dropping-particle":"","family":"Finkenstädt","given":"B F","non-dropping-particle":"","parse-names":false,"suffix":""},{"dropping-particle":"","family":"Grenfell","given":"Bryan T.","non-dropping-particle":"","parse-names":false,"suffix":""}],"container-title":"Ecological Monographs","id":"ITEM-1","issue":"2","issued":{"date-parts":[["2002"]]},"page":"169-184","title":"Dynamics of measles epidemics: Estimating scaling of transmission rates using a Time series SIR model","title-short":"Dynamics of measles epidemics","type":"article-journal","volume":"72"},"uris":["http://www.mendeley.com/documents/?uuid=afe739cd-3a68-43c4-ae43-c09868e4f2f1"]}],"mendeley":{"formattedCitation":"(&lt;i&gt;6&lt;/i&gt;)","plainTextFormattedCitation":"(6)","previouslyFormattedCitation":"(&lt;i&gt;6&lt;/i&gt;)"},"properties":{"noteIndex":0},"schema":"https://github.com/citation-style-language/schema/raw/master/csl-citation.json"}</w:instrText>
      </w:r>
      <w:r w:rsidRPr="00D85C1B">
        <w:rPr>
          <w:color w:val="000000" w:themeColor="text1"/>
          <w:sz w:val="24"/>
          <w:szCs w:val="24"/>
        </w:rPr>
        <w:fldChar w:fldCharType="separate"/>
      </w:r>
      <w:bookmarkStart w:id="1" w:name="__Fieldmark__2568_462406275"/>
      <w:r w:rsidR="002902ED" w:rsidRPr="002902ED">
        <w:rPr>
          <w:noProof/>
          <w:color w:val="000000" w:themeColor="text1"/>
          <w:sz w:val="24"/>
          <w:szCs w:val="24"/>
        </w:rPr>
        <w:t>(</w:t>
      </w:r>
      <w:r w:rsidR="002902ED" w:rsidRPr="002902ED">
        <w:rPr>
          <w:i/>
          <w:noProof/>
          <w:color w:val="000000" w:themeColor="text1"/>
          <w:sz w:val="24"/>
          <w:szCs w:val="24"/>
        </w:rPr>
        <w:t>6</w:t>
      </w:r>
      <w:r w:rsidR="002902ED" w:rsidRPr="002902ED">
        <w:rPr>
          <w:noProof/>
          <w:color w:val="000000" w:themeColor="text1"/>
          <w:sz w:val="24"/>
          <w:szCs w:val="24"/>
        </w:rPr>
        <w:t>)</w:t>
      </w:r>
      <w:r w:rsidRPr="00D85C1B">
        <w:rPr>
          <w:color w:val="000000" w:themeColor="text1"/>
          <w:sz w:val="24"/>
          <w:szCs w:val="24"/>
        </w:rPr>
        <w:fldChar w:fldCharType="end"/>
      </w:r>
      <w:bookmarkEnd w:id="1"/>
      <w:r w:rsidRPr="00D85C1B">
        <w:rPr>
          <w:color w:val="000000" w:themeColor="text1"/>
          <w:sz w:val="24"/>
          <w:szCs w:val="24"/>
        </w:rPr>
        <w:t xml:space="preserve"> using the TSIR model. Multiple of our estimates fall below those in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{"citationItems":[{"id":"ITEM-1","itemData":{"DOI":"10.1098/rsif.2009.0151","ISSN":"1742-5689, 1742-5662","PMID":"19535416","abstract":"Statistical inference for mechanistic models of partially observed dynamic systems is an active area of research. Most existing inference methods place substantial restrictions upon the form of models that can be fitted and hence upon the nature of the scientific hypotheses that can be entertained and the data that can be used to evaluate them. In contrast, the so-called plug-and-play methods require only simulations from a model and are thus free of such restrictions. We show the utility of the plug-and-play approach in the context of an investigation of measles transmission dynamics. Our novel methodology enables us to ask and answer questions that previous analyses have been unable to address. Specifically, we demonstrate that plug-and-play methods permit the development of a modelling and inference framework applicable to data from both large and small populations. We thereby obtain novel insights into the nature of heterogeneity in mixing and comment on the importance of including extra-demographic stochasticity as a means of dealing with environmental stochasticity and model misspecification. Our approach is readily applicable to many other epidemiological and ecological systems.","author":[{"dropping-particle":"","family":"He","given":"Daihai","non-dropping-particle":"","parse-names":false,"suffix":""},{"dropping-particle":"","family":"Ionides","given":"Edward L","non-dropping-particle":"","parse-names":false,"suffix":""},{"dropping-particle":"","family":"King","given":"Aaron A","non-dropping-particle":"","parse-names":false,"suffix":""}],"container-title":"Journal of The Royal Society Interface","id":"ITEM-1","issue":"43","issued":{"date-parts":[["2010","2"]]},"page":"271-283","title":"Plug-and-play inference for disease dynamics: measles in large and small populations as a case study","title-short":"Plug-and-play inference for disease dynamics","type":"article-journal","volume":"7"},"uris":["http://www.mendeley.com/documents/?uuid=7f7d2c11-13da-4ec8-bd1d-1f84399741d1"]}],"mendeley":{"formattedCitation":"(&lt;i&gt;1&lt;/i&gt;)","plainTextFormattedCitation":"(1)","previouslyFormattedCitation":"(&lt;i&gt;1&lt;/i&gt;)"},"properties":{"noteIndex":0},"schema":"https://github.com/citation-style-language/schema/raw/master/csl-citation.json"}</w:instrText>
      </w:r>
      <w:r w:rsidRPr="00D85C1B">
        <w:rPr>
          <w:color w:val="000000" w:themeColor="text1"/>
          <w:sz w:val="24"/>
          <w:szCs w:val="24"/>
        </w:rPr>
        <w:fldChar w:fldCharType="separate"/>
      </w:r>
      <w:bookmarkStart w:id="2" w:name="__Fieldmark__2578_462406275"/>
      <w:r w:rsidR="002902ED" w:rsidRPr="002902ED">
        <w:rPr>
          <w:noProof/>
          <w:color w:val="000000" w:themeColor="text1"/>
          <w:sz w:val="24"/>
          <w:szCs w:val="24"/>
        </w:rPr>
        <w:t>(</w:t>
      </w:r>
      <w:r w:rsidR="002902ED" w:rsidRPr="002902ED">
        <w:rPr>
          <w:i/>
          <w:noProof/>
          <w:color w:val="000000" w:themeColor="text1"/>
          <w:sz w:val="24"/>
          <w:szCs w:val="24"/>
        </w:rPr>
        <w:t>1</w:t>
      </w:r>
      <w:r w:rsidR="002902ED" w:rsidRPr="002902ED">
        <w:rPr>
          <w:noProof/>
          <w:color w:val="000000" w:themeColor="text1"/>
          <w:sz w:val="24"/>
          <w:szCs w:val="24"/>
        </w:rPr>
        <w:t>)</w:t>
      </w:r>
      <w:r w:rsidRPr="00D85C1B">
        <w:rPr>
          <w:color w:val="000000" w:themeColor="text1"/>
          <w:sz w:val="24"/>
          <w:szCs w:val="24"/>
        </w:rPr>
        <w:fldChar w:fldCharType="end"/>
      </w:r>
      <w:bookmarkEnd w:id="2"/>
      <w:r w:rsidRPr="00D85C1B">
        <w:rPr>
          <w:color w:val="000000" w:themeColor="text1"/>
          <w:sz w:val="24"/>
          <w:szCs w:val="24"/>
        </w:rPr>
        <w:t xml:space="preserve"> the immigration, white noise, cohort, and case reporting dispersion parameters (their estimates were 2.9, 0.09, 0.56, and 0.12, respectively for London; 1950-1965). However, this is likely due to carrying our inference throughout the vaccine era, when the number of infected imports per year likely decreased, as well as the number of school-age children susceptible. Our estimated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0</m:t>
            </m:r>
          </m:sub>
        </m:sSub>
      </m:oMath>
      <w:r w:rsidRPr="00D85C1B">
        <w:rPr>
          <w:color w:val="000000" w:themeColor="text1"/>
          <w:sz w:val="24"/>
          <w:szCs w:val="24"/>
        </w:rPr>
        <w:t xml:space="preserve"> of 29 is above the typical range of 12-18 given by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{"citationItems":[{"id":"ITEM-1","itemData":{"author":[{"dropping-particle":"","family":"Anderson","given":"R M","non-dropping-particle":"","parse-names":false,"suffix":""},{"dropping-particle":"","family":"May","given":"R.M.","non-dropping-particle":"","parse-names":false,"suffix":""}],"id":"ITEM-1","issued":{"date-parts":[["1992","1"]]},"publisher":"Oxford: Oxford University Press","title":"Infectious diseases of humans: Dynamics and control.","title-short":"Infectious diseases of humans","type":"book","volume":"15"},"uris":["http://www.mendeley.com/documents/?uuid=4f629b1b-e224-44fa-a2e2-d204876744ac"]}],"mendeley":{"formattedCitation":"(&lt;i&gt;7&lt;/i&gt;)","plainTextFormattedCitation":"(7)","previouslyFormattedCitation":"(&lt;i&gt;7&lt;/i&gt;)"},"properties":{"noteIndex":0},"schema":"https://github.com/citation-style-language/schema/raw/master/csl-citation.json"}</w:instrText>
      </w:r>
      <w:r w:rsidRPr="00D85C1B">
        <w:rPr>
          <w:color w:val="000000" w:themeColor="text1"/>
          <w:sz w:val="24"/>
          <w:szCs w:val="24"/>
        </w:rPr>
        <w:fldChar w:fldCharType="separate"/>
      </w:r>
      <w:bookmarkStart w:id="3" w:name="__Fieldmark__2589_462406275"/>
      <w:r w:rsidR="002902ED" w:rsidRPr="002902ED">
        <w:rPr>
          <w:noProof/>
          <w:color w:val="000000" w:themeColor="text1"/>
          <w:sz w:val="24"/>
          <w:szCs w:val="24"/>
        </w:rPr>
        <w:t>(</w:t>
      </w:r>
      <w:r w:rsidR="002902ED" w:rsidRPr="002902ED">
        <w:rPr>
          <w:i/>
          <w:noProof/>
          <w:color w:val="000000" w:themeColor="text1"/>
          <w:sz w:val="24"/>
          <w:szCs w:val="24"/>
        </w:rPr>
        <w:t>7</w:t>
      </w:r>
      <w:r w:rsidR="002902ED" w:rsidRPr="002902ED">
        <w:rPr>
          <w:noProof/>
          <w:color w:val="000000" w:themeColor="text1"/>
          <w:sz w:val="24"/>
          <w:szCs w:val="24"/>
        </w:rPr>
        <w:t>)</w:t>
      </w:r>
      <w:r w:rsidRPr="00D85C1B">
        <w:rPr>
          <w:color w:val="000000" w:themeColor="text1"/>
          <w:sz w:val="24"/>
          <w:szCs w:val="24"/>
        </w:rPr>
        <w:fldChar w:fldCharType="end"/>
      </w:r>
      <w:bookmarkEnd w:id="3"/>
      <w:r w:rsidRPr="00D85C1B">
        <w:rPr>
          <w:color w:val="000000" w:themeColor="text1"/>
          <w:sz w:val="24"/>
          <w:szCs w:val="24"/>
        </w:rPr>
        <w:t>, but similar to the London estimate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0</m:t>
            </m:r>
          </m:sub>
        </m:sSub>
      </m:oMath>
      <w:r w:rsidRPr="00D85C1B">
        <w:rPr>
          <w:color w:val="000000" w:themeColor="text1"/>
          <w:sz w:val="24"/>
          <w:szCs w:val="24"/>
        </w:rPr>
        <w:t xml:space="preserve"> = 30) obtained by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{"citationItems":[{"id":"ITEM-1","itemData":{"DOI":"10.1890/0012-9615(2002)072[0185:DOMESN]2.0.CO;2","ISSN":"0012-9615","abstract":"Two key linked questions in population dynamics are the relative importance of noise vs. density-dependent nonlinearities and the limits on temporal predictability of population abundance. We propose that childhood microparasitic infections, notably measles, provide an unusually suitable empirical and theoretical test bed for addressing these issues. We base our analysis on a new mechanistic time series model for measles, the TSIR model, which captures the mechanistic essence of epidemic dynamics. The model, and parameter estimates based on short-term fits to prevaccination measles time series for 60 towns and cities in England and Wales, is introduced in a companion paper. Here, we explore how well the model predicts the long-term dynamics of measles and the balance between noise and determinism, as a function of population size. The TSIR model captures the basic dynamical features of the long-term pattern of measles epidemics in large cities remarkably well (based on time and frequency domain analyses). In particular, the model illustrates the impact of secular increases in birth rates, which cause a transition from biennial to annual dynamics. The model also captures the observed increase in epidemic irregularity with decreasing population size and the onset of local extinction below a critical community size. Decreased host population size is shown to be associated with an increased impact of demographic stochasticity. The interaction between nonlinearity and noise is explored using local Lyapunov exponents (LLE). These testify to the high level of stability of the biennial attractor in large cities. Irregularities are due to the limit cycle evolving with changing human birth rates and not due to complex dynamics. The geometry of the dynamics (sign and magnitude of the LLEs across phase space) is similar in the cities and the smaller urban areas. The qualitative difference in dynamics between small and large host communities is that demographic and extinction--recolonization stochasticities are much more influential in the former. The regional dynamics can therefore only be understood in terms of a core--satellite metapopulation structure for this host--enemy system. We also make a preliminary exploration of the model's ability to predict the dynamic consequences of measles vaccination.","author":[{"dropping-particle":"","family":"Grenfell","given":"Bryan T","non-dropping-particle":"","parse-names":false,"suffix":""},{"dropping-particle":"","family":"Bjørnstad","given":"Ottar N","non-dropping-particle":"","parse-names":false,"suffix":""},{"dropping-particle":"","family":"Finkenstädt","given":"Bärbel F","non-dropping-particle":"","parse-names":false,"suffix":""}],"container-title":"Ecological Monographs","id":"ITEM-1","issue":"2","issued":{"date-parts":[["2002","5"]]},"page":"185-202","title":"Dynamics of measles epidemics: scaling noise, determinism, and predictability with the tsir model","title-short":"Dynamics of measles epidemics","type":"article-journal","volume":"72"},"uris":["http://www.mendeley.com/documents/?uuid=2f5d5615-9704-4569-a462-f518d1aaafcb"]}],"mendeley":{"formattedCitation":"(&lt;i&gt;8&lt;/i&gt;)","plainTextFormattedCitation":"(8)","previouslyFormattedCitation":"(&lt;i&gt;8&lt;/i&gt;)"},"properties":{"noteIndex":0},"schema":"https://github.com/citation-style-language/schema/raw/master/csl-citation.json"}</w:instrText>
      </w:r>
      <w:r w:rsidRPr="00D85C1B">
        <w:rPr>
          <w:color w:val="000000" w:themeColor="text1"/>
          <w:sz w:val="24"/>
          <w:szCs w:val="24"/>
        </w:rPr>
        <w:fldChar w:fldCharType="separate"/>
      </w:r>
      <w:bookmarkStart w:id="4" w:name="__Fieldmark__2600_462406275"/>
      <w:r w:rsidR="002902ED" w:rsidRPr="002902ED">
        <w:rPr>
          <w:noProof/>
          <w:color w:val="000000" w:themeColor="text1"/>
          <w:sz w:val="24"/>
          <w:szCs w:val="24"/>
        </w:rPr>
        <w:t>(</w:t>
      </w:r>
      <w:r w:rsidR="002902ED" w:rsidRPr="002902ED">
        <w:rPr>
          <w:i/>
          <w:noProof/>
          <w:color w:val="000000" w:themeColor="text1"/>
          <w:sz w:val="24"/>
          <w:szCs w:val="24"/>
        </w:rPr>
        <w:t>8</w:t>
      </w:r>
      <w:r w:rsidR="002902ED" w:rsidRPr="002902ED">
        <w:rPr>
          <w:noProof/>
          <w:color w:val="000000" w:themeColor="text1"/>
          <w:sz w:val="24"/>
          <w:szCs w:val="24"/>
        </w:rPr>
        <w:t>)</w:t>
      </w:r>
      <w:r w:rsidRPr="00D85C1B">
        <w:rPr>
          <w:color w:val="000000" w:themeColor="text1"/>
          <w:sz w:val="24"/>
          <w:szCs w:val="24"/>
        </w:rPr>
        <w:fldChar w:fldCharType="end"/>
      </w:r>
      <w:bookmarkEnd w:id="4"/>
      <w:r w:rsidRPr="00D85C1B">
        <w:rPr>
          <w:color w:val="000000" w:themeColor="text1"/>
          <w:sz w:val="24"/>
          <w:szCs w:val="24"/>
        </w:rPr>
        <w:t xml:space="preserve">, and below the estimated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0</m:t>
            </m:r>
          </m:sub>
        </m:sSub>
      </m:oMath>
      <w:r w:rsidRPr="00D85C1B">
        <w:rPr>
          <w:color w:val="000000" w:themeColor="text1"/>
          <w:sz w:val="24"/>
          <w:szCs w:val="24"/>
        </w:rPr>
        <w:t xml:space="preserve"> = 57, also from London, from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{"citationItems":[{"id":"ITEM-1","itemData":{"DOI":"10.1098/rsif.2009.0151","ISSN":"1742-5689, 1742-5662","PMID":"19535416","abstract":"Statistical inference for mechanistic models of partially observed dynamic systems is an active area of research. Most existing inference methods place substantial restrictions upon the form of models that can be fitted and hence upon the nature of the scientific hypotheses that can be entertained and the data that can be used to evaluate them. In contrast, the so-called plug-and-play methods require only simulations from a model and are thus free of such restrictions. We show the utility of the plug-and-play approach in the context of an investigation of measles transmission dynamics. Our novel methodology enables us to ask and answer questions that previous analyses have been unable to address. Specifically, we demonstrate that plug-and-play methods permit the development of a modelling and inference framework applicable to data from both large and small populations. We thereby obtain novel insights into the nature of heterogeneity in mixing and comment on the importance of including extra-demographic stochasticity as a means of dealing with environmental stochasticity and model misspecification. Our approach is readily applicable to many other epidemiological and ecological systems.","author":[{"dropping-particle":"","family":"He","given":"Daihai","non-dropping-particle":"","parse-names":false,"suffix":""},{"dropping-particle":"","family":"Ionides","given":"Edward L","non-dropping-particle":"","parse-names":false,"suffix":""},{"dropping-particle":"","family":"King","given":"Aaron A","non-dropping-particle":"","parse-names":false,"suffix":""}],"container-title":"Journal of The Royal Society Interface","id":"ITEM-1","issue":"43","issued":{"date-parts":[["2010","2"]]},"page":"271-283","title":"Plug-and-play inference for disease dynamics: measles in large and small populations as a case study","title-short":"Plug-and-play inference for disease dynamics","type":"article-journal","volume":"7"},"uris":["http://www.mendeley.com/documents/?uuid=7f7d2c11-13da-4ec8-bd1d-1f84399741d1"]}],"mendeley":{"formattedCitation":"(&lt;i&gt;1&lt;/i&gt;)","plainTextFormattedCitation":"(1)","previouslyFormattedCitation":"(&lt;i&gt;1&lt;/i&gt;)"},"properties":{"noteIndex":0},"schema":"https://github.com/citation-style-language/schema/raw/master/csl-citation.json"}</w:instrText>
      </w:r>
      <w:r w:rsidRPr="00D85C1B">
        <w:rPr>
          <w:color w:val="000000" w:themeColor="text1"/>
          <w:sz w:val="24"/>
          <w:szCs w:val="24"/>
        </w:rPr>
        <w:fldChar w:fldCharType="separate"/>
      </w:r>
      <w:bookmarkStart w:id="5" w:name="__Fieldmark__2611_462406275"/>
      <w:r w:rsidR="002902ED" w:rsidRPr="002902ED">
        <w:rPr>
          <w:noProof/>
          <w:color w:val="000000" w:themeColor="text1"/>
          <w:sz w:val="24"/>
          <w:szCs w:val="24"/>
        </w:rPr>
        <w:t>(</w:t>
      </w:r>
      <w:r w:rsidR="002902ED" w:rsidRPr="002902ED">
        <w:rPr>
          <w:i/>
          <w:noProof/>
          <w:color w:val="000000" w:themeColor="text1"/>
          <w:sz w:val="24"/>
          <w:szCs w:val="24"/>
        </w:rPr>
        <w:t>1</w:t>
      </w:r>
      <w:r w:rsidR="002902ED" w:rsidRPr="002902ED">
        <w:rPr>
          <w:noProof/>
          <w:color w:val="000000" w:themeColor="text1"/>
          <w:sz w:val="24"/>
          <w:szCs w:val="24"/>
        </w:rPr>
        <w:t>)</w:t>
      </w:r>
      <w:r w:rsidRPr="00D85C1B">
        <w:rPr>
          <w:color w:val="000000" w:themeColor="text1"/>
          <w:sz w:val="24"/>
          <w:szCs w:val="24"/>
        </w:rPr>
        <w:fldChar w:fldCharType="end"/>
      </w:r>
      <w:bookmarkEnd w:id="5"/>
      <w:r w:rsidRPr="00D85C1B">
        <w:rPr>
          <w:color w:val="000000" w:themeColor="text1"/>
          <w:sz w:val="24"/>
          <w:szCs w:val="24"/>
        </w:rPr>
        <w:t xml:space="preserve"> using the same method</w:t>
      </w:r>
    </w:p>
    <w:p w14:paraId="0F10EDBE" w14:textId="77777777" w:rsidR="00AD04C3" w:rsidRPr="00D85C1B" w:rsidRDefault="00AD04C3" w:rsidP="00AD04C3">
      <w:pPr>
        <w:rPr>
          <w:color w:val="000000" w:themeColor="text1"/>
          <w:sz w:val="24"/>
          <w:szCs w:val="24"/>
        </w:rPr>
      </w:pPr>
    </w:p>
    <w:p w14:paraId="67C64AA9" w14:textId="110F73D4" w:rsidR="00AD04C3" w:rsidRPr="00D85C1B" w:rsidRDefault="00AD04C3" w:rsidP="00AD04C3">
      <w:pPr>
        <w:rPr>
          <w:color w:val="000000" w:themeColor="text1"/>
          <w:sz w:val="24"/>
          <w:szCs w:val="24"/>
        </w:rPr>
      </w:pPr>
      <w:r>
        <w:rPr>
          <w:color w:val="000000" w:themeColor="text1"/>
          <w:sz w:val="24"/>
          <w:szCs w:val="24"/>
        </w:rPr>
        <w:t>A full table of each parameter, whether it is time-varying or not, whether it is estimated</w:t>
      </w:r>
      <w:r w:rsidR="00BE7CBC">
        <w:rPr>
          <w:color w:val="000000" w:themeColor="text1"/>
          <w:sz w:val="24"/>
          <w:szCs w:val="24"/>
        </w:rPr>
        <w:t xml:space="preserve"> or fixed</w:t>
      </w:r>
      <w:r>
        <w:rPr>
          <w:color w:val="000000" w:themeColor="text1"/>
          <w:sz w:val="24"/>
          <w:szCs w:val="24"/>
        </w:rPr>
        <w:t>, and the value with 95% confidence intervals (calculated by the chi-square approximation of the likelihood ratio test), if applicable, follows.</w:t>
      </w:r>
    </w:p>
    <w:p w14:paraId="714792BA" w14:textId="77777777" w:rsidR="00412987" w:rsidRPr="00D85C1B" w:rsidRDefault="00412987" w:rsidP="0083544A">
      <w:pPr>
        <w:rPr>
          <w:color w:val="000000" w:themeColor="text1"/>
          <w:sz w:val="24"/>
          <w:szCs w:val="24"/>
        </w:rPr>
      </w:pPr>
    </w:p>
    <w:tbl>
      <w:tblPr>
        <w:tblStyle w:val="TableGrid"/>
        <w:tblW w:w="11038" w:type="dxa"/>
        <w:tblInd w:w="-845" w:type="dxa"/>
        <w:tblLayout w:type="fixed"/>
        <w:tblLook w:val="04A0" w:firstRow="1" w:lastRow="0" w:firstColumn="1" w:lastColumn="0" w:noHBand="0" w:noVBand="1"/>
      </w:tblPr>
      <w:tblGrid>
        <w:gridCol w:w="1035"/>
        <w:gridCol w:w="3395"/>
        <w:gridCol w:w="1434"/>
        <w:gridCol w:w="1121"/>
        <w:gridCol w:w="1121"/>
        <w:gridCol w:w="2932"/>
      </w:tblGrid>
      <w:tr w:rsidR="00725DBB" w:rsidRPr="00D85C1B" w14:paraId="39927C83" w14:textId="77777777" w:rsidTr="00412987">
        <w:trPr>
          <w:trHeight w:val="244"/>
        </w:trPr>
        <w:tc>
          <w:tcPr>
            <w:tcW w:w="1035" w:type="dxa"/>
          </w:tcPr>
          <w:p w14:paraId="40555EDE" w14:textId="1B4EDDBF" w:rsidR="00725DBB" w:rsidRPr="00D85C1B" w:rsidRDefault="00725DBB" w:rsidP="00C810CE">
            <w:pPr>
              <w:rPr>
                <w:color w:val="000000" w:themeColor="text1"/>
                <w:sz w:val="20"/>
                <w:szCs w:val="20"/>
              </w:rPr>
            </w:pPr>
            <m:oMathPara>
              <m:oMath>
                <m:r>
                  <w:rPr>
                    <w:rFonts w:ascii="Cambria Math" w:hAnsi="Cambria Math"/>
                    <w:color w:val="000000" w:themeColor="text1"/>
                    <w:sz w:val="20"/>
                    <w:szCs w:val="20"/>
                  </w:rPr>
                  <m:t>θ</m:t>
                </m:r>
              </m:oMath>
            </m:oMathPara>
          </w:p>
        </w:tc>
        <w:tc>
          <w:tcPr>
            <w:tcW w:w="3395" w:type="dxa"/>
          </w:tcPr>
          <w:p w14:paraId="26254B62" w14:textId="49A7EFA7" w:rsidR="00725DBB" w:rsidRPr="00D85C1B" w:rsidRDefault="00725DBB" w:rsidP="00C810CE">
            <w:pPr>
              <w:rPr>
                <w:color w:val="000000" w:themeColor="text1"/>
                <w:sz w:val="20"/>
                <w:szCs w:val="20"/>
              </w:rPr>
            </w:pPr>
            <w:r w:rsidRPr="00D85C1B">
              <w:rPr>
                <w:color w:val="000000" w:themeColor="text1"/>
                <w:sz w:val="20"/>
                <w:szCs w:val="20"/>
              </w:rPr>
              <w:t>Description</w:t>
            </w:r>
          </w:p>
        </w:tc>
        <w:tc>
          <w:tcPr>
            <w:tcW w:w="1434" w:type="dxa"/>
          </w:tcPr>
          <w:p w14:paraId="7FC9B52E" w14:textId="03D7B80C" w:rsidR="00725DBB" w:rsidRPr="00D85C1B" w:rsidRDefault="00725DBB" w:rsidP="00C810CE">
            <w:pPr>
              <w:rPr>
                <w:color w:val="000000" w:themeColor="text1"/>
                <w:sz w:val="20"/>
                <w:szCs w:val="20"/>
              </w:rPr>
            </w:pPr>
            <w:r w:rsidRPr="00D85C1B">
              <w:rPr>
                <w:color w:val="000000" w:themeColor="text1"/>
                <w:sz w:val="20"/>
                <w:szCs w:val="20"/>
              </w:rPr>
              <w:t>Time-varying</w:t>
            </w:r>
          </w:p>
        </w:tc>
        <w:tc>
          <w:tcPr>
            <w:tcW w:w="1121" w:type="dxa"/>
          </w:tcPr>
          <w:p w14:paraId="7838A9F5" w14:textId="6153519C" w:rsidR="00725DBB" w:rsidRPr="00D85C1B" w:rsidRDefault="00725DBB" w:rsidP="00C810CE">
            <w:pPr>
              <w:rPr>
                <w:color w:val="000000" w:themeColor="text1"/>
                <w:sz w:val="20"/>
                <w:szCs w:val="20"/>
              </w:rPr>
            </w:pPr>
            <w:r w:rsidRPr="00D85C1B">
              <w:rPr>
                <w:color w:val="000000" w:themeColor="text1"/>
                <w:sz w:val="20"/>
                <w:szCs w:val="20"/>
              </w:rPr>
              <w:t>Estimated</w:t>
            </w:r>
          </w:p>
        </w:tc>
        <w:tc>
          <w:tcPr>
            <w:tcW w:w="1121" w:type="dxa"/>
          </w:tcPr>
          <w:p w14:paraId="30DD0CC6" w14:textId="0AACDBE4" w:rsidR="00725DBB" w:rsidRPr="00D85C1B" w:rsidRDefault="00725DBB" w:rsidP="00C810CE">
            <w:pPr>
              <w:rPr>
                <w:color w:val="000000" w:themeColor="text1"/>
                <w:sz w:val="20"/>
                <w:szCs w:val="20"/>
              </w:rPr>
            </w:pPr>
            <w:r w:rsidRPr="00D85C1B">
              <w:rPr>
                <w:color w:val="000000" w:themeColor="text1"/>
                <w:sz w:val="20"/>
                <w:szCs w:val="20"/>
              </w:rPr>
              <w:t>Value</w:t>
            </w:r>
          </w:p>
        </w:tc>
        <w:tc>
          <w:tcPr>
            <w:tcW w:w="2932" w:type="dxa"/>
          </w:tcPr>
          <w:p w14:paraId="2B3FC9A5" w14:textId="1FB89A93" w:rsidR="00725DBB" w:rsidRPr="00D85C1B" w:rsidRDefault="00725DBB" w:rsidP="00C810CE">
            <w:pPr>
              <w:rPr>
                <w:color w:val="000000" w:themeColor="text1"/>
                <w:sz w:val="20"/>
                <w:szCs w:val="20"/>
              </w:rPr>
            </w:pPr>
            <w:r w:rsidRPr="00D85C1B">
              <w:rPr>
                <w:color w:val="000000" w:themeColor="text1"/>
                <w:sz w:val="20"/>
                <w:szCs w:val="20"/>
              </w:rPr>
              <w:t>CI</w:t>
            </w:r>
            <w:r w:rsidR="004A293F" w:rsidRPr="00D85C1B">
              <w:rPr>
                <w:color w:val="000000" w:themeColor="text1"/>
                <w:sz w:val="20"/>
                <w:szCs w:val="20"/>
              </w:rPr>
              <w:t xml:space="preserve"> (95%)</w:t>
            </w:r>
          </w:p>
        </w:tc>
      </w:tr>
      <w:tr w:rsidR="00725DBB" w:rsidRPr="00D85C1B" w14:paraId="3BB62B21" w14:textId="77777777" w:rsidTr="00412987">
        <w:trPr>
          <w:trHeight w:val="255"/>
        </w:trPr>
        <w:tc>
          <w:tcPr>
            <w:tcW w:w="1035" w:type="dxa"/>
          </w:tcPr>
          <w:p w14:paraId="43BF72C0" w14:textId="28595FB9" w:rsidR="00725DBB" w:rsidRPr="00D85C1B" w:rsidRDefault="00A54F99" w:rsidP="00C810CE">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t</m:t>
                    </m:r>
                  </m:sub>
                </m:sSub>
              </m:oMath>
            </m:oMathPara>
          </w:p>
        </w:tc>
        <w:tc>
          <w:tcPr>
            <w:tcW w:w="3395" w:type="dxa"/>
          </w:tcPr>
          <w:p w14:paraId="22A1FC54" w14:textId="209C2FFD" w:rsidR="00725DBB" w:rsidRPr="00D85C1B" w:rsidRDefault="00725DBB" w:rsidP="00C810CE">
            <w:pPr>
              <w:rPr>
                <w:color w:val="000000" w:themeColor="text1"/>
                <w:sz w:val="20"/>
                <w:szCs w:val="20"/>
              </w:rPr>
            </w:pPr>
            <w:r w:rsidRPr="00D85C1B">
              <w:rPr>
                <w:color w:val="000000" w:themeColor="text1"/>
                <w:sz w:val="20"/>
                <w:szCs w:val="20"/>
              </w:rPr>
              <w:t>Case fatality rate</w:t>
            </w:r>
          </w:p>
        </w:tc>
        <w:tc>
          <w:tcPr>
            <w:tcW w:w="1434" w:type="dxa"/>
          </w:tcPr>
          <w:p w14:paraId="3B59EE6B" w14:textId="20E73858" w:rsidR="00725DBB" w:rsidRPr="00D85C1B" w:rsidRDefault="004C7A17" w:rsidP="00C810CE">
            <w:pPr>
              <w:rPr>
                <w:color w:val="000000" w:themeColor="text1"/>
                <w:sz w:val="20"/>
                <w:szCs w:val="20"/>
              </w:rPr>
            </w:pPr>
            <w:r w:rsidRPr="00D85C1B">
              <w:rPr>
                <w:color w:val="000000" w:themeColor="text1"/>
                <w:sz w:val="20"/>
                <w:szCs w:val="20"/>
              </w:rPr>
              <w:t>1897</w:t>
            </w:r>
            <w:r w:rsidR="00FB3361">
              <w:rPr>
                <w:color w:val="000000" w:themeColor="text1"/>
                <w:sz w:val="20"/>
                <w:szCs w:val="20"/>
              </w:rPr>
              <w:t xml:space="preserve"> </w:t>
            </w:r>
            <w:r w:rsidRPr="00D85C1B">
              <w:rPr>
                <w:color w:val="000000" w:themeColor="text1"/>
                <w:sz w:val="20"/>
                <w:szCs w:val="20"/>
              </w:rPr>
              <w:t>-</w:t>
            </w:r>
            <w:r w:rsidR="00FB3361">
              <w:rPr>
                <w:color w:val="000000" w:themeColor="text1"/>
                <w:sz w:val="20"/>
                <w:szCs w:val="20"/>
              </w:rPr>
              <w:t xml:space="preserve"> </w:t>
            </w:r>
            <w:r w:rsidRPr="00D85C1B">
              <w:rPr>
                <w:color w:val="000000" w:themeColor="text1"/>
                <w:sz w:val="20"/>
                <w:szCs w:val="20"/>
              </w:rPr>
              <w:t>1940</w:t>
            </w:r>
          </w:p>
        </w:tc>
        <w:tc>
          <w:tcPr>
            <w:tcW w:w="1121" w:type="dxa"/>
          </w:tcPr>
          <w:p w14:paraId="041C58CA" w14:textId="78450E84" w:rsidR="00725DBB" w:rsidRPr="00D85C1B" w:rsidRDefault="00725DBB" w:rsidP="00C810CE">
            <w:pPr>
              <w:rPr>
                <w:color w:val="000000" w:themeColor="text1"/>
                <w:sz w:val="20"/>
                <w:szCs w:val="20"/>
              </w:rPr>
            </w:pPr>
            <w:r w:rsidRPr="00D85C1B">
              <w:rPr>
                <w:color w:val="000000" w:themeColor="text1"/>
                <w:sz w:val="20"/>
                <w:szCs w:val="20"/>
              </w:rPr>
              <w:t>Y</w:t>
            </w:r>
          </w:p>
        </w:tc>
        <w:tc>
          <w:tcPr>
            <w:tcW w:w="1121" w:type="dxa"/>
          </w:tcPr>
          <w:p w14:paraId="4E86EFA9" w14:textId="05412D8D" w:rsidR="00725DBB" w:rsidRPr="00D85C1B" w:rsidRDefault="004A293F" w:rsidP="00C810CE">
            <w:pPr>
              <w:rPr>
                <w:color w:val="000000" w:themeColor="text1"/>
                <w:sz w:val="20"/>
                <w:szCs w:val="20"/>
              </w:rPr>
            </w:pPr>
            <w:r w:rsidRPr="00D85C1B">
              <w:rPr>
                <w:color w:val="000000" w:themeColor="text1"/>
                <w:sz w:val="20"/>
                <w:szCs w:val="20"/>
              </w:rPr>
              <w:t>0.01</w:t>
            </w:r>
            <w:r w:rsidR="006A5626">
              <w:rPr>
                <w:color w:val="000000" w:themeColor="text1"/>
                <w:sz w:val="20"/>
                <w:szCs w:val="20"/>
              </w:rPr>
              <w:t>60</w:t>
            </w:r>
            <w:r w:rsidRPr="00D85C1B">
              <w:rPr>
                <w:color w:val="000000" w:themeColor="text1"/>
                <w:sz w:val="20"/>
                <w:szCs w:val="20"/>
              </w:rPr>
              <w:t xml:space="preserve"> </w:t>
            </w:r>
          </w:p>
        </w:tc>
        <w:tc>
          <w:tcPr>
            <w:tcW w:w="2932" w:type="dxa"/>
          </w:tcPr>
          <w:p w14:paraId="29A4FBAA" w14:textId="1C4357B1" w:rsidR="00725DBB" w:rsidRPr="00D85C1B" w:rsidRDefault="004A293F" w:rsidP="00C810CE">
            <w:pPr>
              <w:rPr>
                <w:color w:val="000000" w:themeColor="text1"/>
                <w:sz w:val="20"/>
                <w:szCs w:val="20"/>
              </w:rPr>
            </w:pPr>
            <w:r w:rsidRPr="00D85C1B">
              <w:rPr>
                <w:color w:val="000000" w:themeColor="text1"/>
                <w:sz w:val="20"/>
                <w:szCs w:val="20"/>
              </w:rPr>
              <w:t>0. 01</w:t>
            </w:r>
            <w:r w:rsidR="006A5626">
              <w:rPr>
                <w:color w:val="000000" w:themeColor="text1"/>
                <w:sz w:val="20"/>
                <w:szCs w:val="20"/>
              </w:rPr>
              <w:t>57</w:t>
            </w:r>
            <w:r w:rsidRPr="00D85C1B">
              <w:rPr>
                <w:color w:val="000000" w:themeColor="text1"/>
                <w:sz w:val="20"/>
                <w:szCs w:val="20"/>
              </w:rPr>
              <w:t xml:space="preserve"> – 0.01</w:t>
            </w:r>
            <w:r w:rsidR="006A5626">
              <w:rPr>
                <w:color w:val="000000" w:themeColor="text1"/>
                <w:sz w:val="20"/>
                <w:szCs w:val="20"/>
              </w:rPr>
              <w:t>61</w:t>
            </w:r>
          </w:p>
        </w:tc>
      </w:tr>
      <w:tr w:rsidR="004A293F" w:rsidRPr="00D85C1B" w14:paraId="07E4742C" w14:textId="77777777" w:rsidTr="00412987">
        <w:trPr>
          <w:trHeight w:val="255"/>
        </w:trPr>
        <w:tc>
          <w:tcPr>
            <w:tcW w:w="1035" w:type="dxa"/>
          </w:tcPr>
          <w:p w14:paraId="105DBCC2" w14:textId="56D3457A" w:rsidR="004A293F" w:rsidRPr="00D85C1B" w:rsidRDefault="004A293F" w:rsidP="00C810CE">
            <w:pPr>
              <w:rPr>
                <w:rFonts w:eastAsia="Calibri"/>
                <w:color w:val="000000" w:themeColor="text1"/>
                <w:sz w:val="20"/>
                <w:szCs w:val="20"/>
              </w:rPr>
            </w:pPr>
            <m:oMathPara>
              <m:oMath>
                <m:r>
                  <w:rPr>
                    <w:rFonts w:ascii="Cambria Math" w:eastAsia="Calibri" w:hAnsi="Cambria Math"/>
                    <w:color w:val="000000" w:themeColor="text1"/>
                    <w:sz w:val="20"/>
                    <w:szCs w:val="20"/>
                  </w:rPr>
                  <m:t>flu</m:t>
                </m:r>
              </m:oMath>
            </m:oMathPara>
          </w:p>
        </w:tc>
        <w:tc>
          <w:tcPr>
            <w:tcW w:w="3395" w:type="dxa"/>
          </w:tcPr>
          <w:p w14:paraId="771F09DB" w14:textId="15CF8453" w:rsidR="004A293F" w:rsidRPr="00D85C1B" w:rsidRDefault="004A293F" w:rsidP="00C810CE">
            <w:pPr>
              <w:rPr>
                <w:color w:val="000000" w:themeColor="text1"/>
                <w:sz w:val="20"/>
                <w:szCs w:val="20"/>
              </w:rPr>
            </w:pPr>
            <w:r w:rsidRPr="00D85C1B">
              <w:rPr>
                <w:color w:val="000000" w:themeColor="text1"/>
                <w:sz w:val="20"/>
                <w:szCs w:val="20"/>
              </w:rPr>
              <w:t xml:space="preserve">1918 pandemic reduction in contact </w:t>
            </w:r>
          </w:p>
        </w:tc>
        <w:tc>
          <w:tcPr>
            <w:tcW w:w="1434" w:type="dxa"/>
          </w:tcPr>
          <w:p w14:paraId="7CCA1D47" w14:textId="1598E60B" w:rsidR="004A293F" w:rsidRPr="00D85C1B" w:rsidRDefault="004A293F" w:rsidP="00C810CE">
            <w:pPr>
              <w:rPr>
                <w:color w:val="000000" w:themeColor="text1"/>
                <w:sz w:val="20"/>
                <w:szCs w:val="20"/>
              </w:rPr>
            </w:pPr>
            <w:r w:rsidRPr="00D85C1B">
              <w:rPr>
                <w:color w:val="000000" w:themeColor="text1"/>
                <w:sz w:val="20"/>
                <w:szCs w:val="20"/>
              </w:rPr>
              <w:t>1918 - 1919</w:t>
            </w:r>
          </w:p>
        </w:tc>
        <w:tc>
          <w:tcPr>
            <w:tcW w:w="1121" w:type="dxa"/>
          </w:tcPr>
          <w:p w14:paraId="70D21D68" w14:textId="25BDF39D" w:rsidR="004A293F" w:rsidRPr="00D85C1B" w:rsidRDefault="004A293F" w:rsidP="00C810CE">
            <w:pPr>
              <w:rPr>
                <w:color w:val="000000" w:themeColor="text1"/>
                <w:sz w:val="20"/>
                <w:szCs w:val="20"/>
              </w:rPr>
            </w:pPr>
            <w:r w:rsidRPr="00D85C1B">
              <w:rPr>
                <w:color w:val="000000" w:themeColor="text1"/>
                <w:sz w:val="20"/>
                <w:szCs w:val="20"/>
              </w:rPr>
              <w:t>Y</w:t>
            </w:r>
          </w:p>
        </w:tc>
        <w:tc>
          <w:tcPr>
            <w:tcW w:w="1121" w:type="dxa"/>
          </w:tcPr>
          <w:p w14:paraId="47BF1F48" w14:textId="0C7B820B" w:rsidR="004A293F" w:rsidRPr="00D85C1B" w:rsidRDefault="00797D6F" w:rsidP="00C810CE">
            <w:pPr>
              <w:rPr>
                <w:color w:val="000000" w:themeColor="text1"/>
                <w:sz w:val="20"/>
                <w:szCs w:val="20"/>
              </w:rPr>
            </w:pPr>
            <w:r>
              <w:rPr>
                <w:color w:val="000000" w:themeColor="text1"/>
                <w:sz w:val="20"/>
                <w:szCs w:val="20"/>
              </w:rPr>
              <w:t>38%</w:t>
            </w:r>
          </w:p>
        </w:tc>
        <w:tc>
          <w:tcPr>
            <w:tcW w:w="2932" w:type="dxa"/>
          </w:tcPr>
          <w:p w14:paraId="0A1FFAC8" w14:textId="1741AF38" w:rsidR="004A293F" w:rsidRPr="00D85C1B" w:rsidRDefault="00056BC8" w:rsidP="00C810CE">
            <w:pPr>
              <w:rPr>
                <w:color w:val="000000" w:themeColor="text1"/>
                <w:sz w:val="20"/>
                <w:szCs w:val="20"/>
              </w:rPr>
            </w:pPr>
            <w:r>
              <w:rPr>
                <w:color w:val="000000" w:themeColor="text1"/>
                <w:sz w:val="20"/>
                <w:szCs w:val="20"/>
              </w:rPr>
              <w:t>17</w:t>
            </w:r>
            <w:r w:rsidR="00BE7CBC">
              <w:rPr>
                <w:color w:val="000000" w:themeColor="text1"/>
                <w:sz w:val="20"/>
                <w:szCs w:val="20"/>
              </w:rPr>
              <w:t xml:space="preserve">% - </w:t>
            </w:r>
            <w:r>
              <w:rPr>
                <w:color w:val="000000" w:themeColor="text1"/>
                <w:sz w:val="20"/>
                <w:szCs w:val="20"/>
              </w:rPr>
              <w:t>70</w:t>
            </w:r>
            <w:r w:rsidR="00BE7CBC">
              <w:rPr>
                <w:color w:val="000000" w:themeColor="text1"/>
                <w:sz w:val="20"/>
                <w:szCs w:val="20"/>
              </w:rPr>
              <w:t>%</w:t>
            </w:r>
          </w:p>
        </w:tc>
      </w:tr>
      <w:tr w:rsidR="00725DBB" w:rsidRPr="00D85C1B" w14:paraId="193BD7E5" w14:textId="77777777" w:rsidTr="00412987">
        <w:trPr>
          <w:trHeight w:val="244"/>
        </w:trPr>
        <w:tc>
          <w:tcPr>
            <w:tcW w:w="1035" w:type="dxa"/>
          </w:tcPr>
          <w:p w14:paraId="4BBE21DB" w14:textId="320C13E5" w:rsidR="00725DBB" w:rsidRPr="00D85C1B" w:rsidRDefault="00725DBB" w:rsidP="00C810CE">
            <w:pPr>
              <w:rPr>
                <w:color w:val="000000" w:themeColor="text1"/>
                <w:sz w:val="20"/>
                <w:szCs w:val="20"/>
              </w:rPr>
            </w:pPr>
            <m:oMathPara>
              <m:oMath>
                <m:r>
                  <w:rPr>
                    <w:rFonts w:ascii="Cambria Math" w:hAnsi="Cambria Math"/>
                    <w:color w:val="000000" w:themeColor="text1"/>
                    <w:sz w:val="20"/>
                    <w:szCs w:val="20"/>
                  </w:rPr>
                  <m:t>1/σ</m:t>
                </m:r>
              </m:oMath>
            </m:oMathPara>
          </w:p>
        </w:tc>
        <w:tc>
          <w:tcPr>
            <w:tcW w:w="3395" w:type="dxa"/>
          </w:tcPr>
          <w:p w14:paraId="5825A10E" w14:textId="233B31F4" w:rsidR="00725DBB" w:rsidRPr="00D85C1B" w:rsidRDefault="00725DBB" w:rsidP="00C810CE">
            <w:pPr>
              <w:rPr>
                <w:color w:val="000000" w:themeColor="text1"/>
                <w:sz w:val="20"/>
                <w:szCs w:val="20"/>
              </w:rPr>
            </w:pPr>
            <w:r w:rsidRPr="00D85C1B">
              <w:rPr>
                <w:color w:val="000000" w:themeColor="text1"/>
                <w:sz w:val="20"/>
                <w:szCs w:val="20"/>
              </w:rPr>
              <w:t>Latent period</w:t>
            </w:r>
          </w:p>
        </w:tc>
        <w:tc>
          <w:tcPr>
            <w:tcW w:w="1434" w:type="dxa"/>
          </w:tcPr>
          <w:p w14:paraId="36A06F67" w14:textId="0A28F312" w:rsidR="00725DBB" w:rsidRPr="00D85C1B" w:rsidRDefault="00725DBB" w:rsidP="00C810CE">
            <w:pPr>
              <w:rPr>
                <w:color w:val="000000" w:themeColor="text1"/>
                <w:sz w:val="20"/>
                <w:szCs w:val="20"/>
              </w:rPr>
            </w:pPr>
            <w:r w:rsidRPr="00D85C1B">
              <w:rPr>
                <w:color w:val="000000" w:themeColor="text1"/>
                <w:sz w:val="20"/>
                <w:szCs w:val="20"/>
              </w:rPr>
              <w:t>N</w:t>
            </w:r>
          </w:p>
        </w:tc>
        <w:tc>
          <w:tcPr>
            <w:tcW w:w="1121" w:type="dxa"/>
          </w:tcPr>
          <w:p w14:paraId="43DE89AD" w14:textId="73E74402" w:rsidR="00725DBB" w:rsidRPr="00D85C1B" w:rsidRDefault="00725DBB" w:rsidP="00C810CE">
            <w:pPr>
              <w:rPr>
                <w:color w:val="000000" w:themeColor="text1"/>
                <w:sz w:val="20"/>
                <w:szCs w:val="20"/>
              </w:rPr>
            </w:pPr>
            <w:r w:rsidRPr="00D85C1B">
              <w:rPr>
                <w:color w:val="000000" w:themeColor="text1"/>
                <w:sz w:val="20"/>
                <w:szCs w:val="20"/>
              </w:rPr>
              <w:t>N</w:t>
            </w:r>
          </w:p>
        </w:tc>
        <w:tc>
          <w:tcPr>
            <w:tcW w:w="1121" w:type="dxa"/>
          </w:tcPr>
          <w:p w14:paraId="4B5481B9" w14:textId="4551F2A1" w:rsidR="00725DBB" w:rsidRPr="00D85C1B" w:rsidRDefault="004A293F" w:rsidP="00C810CE">
            <w:pPr>
              <w:rPr>
                <w:color w:val="000000" w:themeColor="text1"/>
                <w:sz w:val="20"/>
                <w:szCs w:val="20"/>
              </w:rPr>
            </w:pPr>
            <w:r w:rsidRPr="00D85C1B">
              <w:rPr>
                <w:color w:val="000000" w:themeColor="text1"/>
                <w:sz w:val="20"/>
                <w:szCs w:val="20"/>
              </w:rPr>
              <w:t>8 days</w:t>
            </w:r>
          </w:p>
        </w:tc>
        <w:tc>
          <w:tcPr>
            <w:tcW w:w="2932" w:type="dxa"/>
          </w:tcPr>
          <w:p w14:paraId="040161D0" w14:textId="71236987" w:rsidR="00725DBB" w:rsidRPr="00D85C1B" w:rsidRDefault="00412987" w:rsidP="00C810CE">
            <w:pPr>
              <w:rPr>
                <w:color w:val="000000" w:themeColor="text1"/>
                <w:sz w:val="20"/>
                <w:szCs w:val="20"/>
              </w:rPr>
            </w:pPr>
            <w:r w:rsidRPr="00D85C1B">
              <w:rPr>
                <w:color w:val="000000" w:themeColor="text1"/>
                <w:sz w:val="20"/>
                <w:szCs w:val="20"/>
              </w:rPr>
              <w:t>NA</w:t>
            </w:r>
          </w:p>
        </w:tc>
      </w:tr>
      <w:tr w:rsidR="00725DBB" w:rsidRPr="00D85C1B" w14:paraId="121D1A9F" w14:textId="77777777" w:rsidTr="00412987">
        <w:trPr>
          <w:trHeight w:val="255"/>
        </w:trPr>
        <w:tc>
          <w:tcPr>
            <w:tcW w:w="1035" w:type="dxa"/>
          </w:tcPr>
          <w:p w14:paraId="27D62789" w14:textId="6A4BB601" w:rsidR="00725DBB" w:rsidRPr="00D85C1B" w:rsidRDefault="00725DBB" w:rsidP="00C810CE">
            <w:pPr>
              <w:rPr>
                <w:color w:val="000000" w:themeColor="text1"/>
                <w:sz w:val="20"/>
                <w:szCs w:val="20"/>
              </w:rPr>
            </w:pPr>
            <m:oMathPara>
              <m:oMath>
                <m:r>
                  <w:rPr>
                    <w:rFonts w:ascii="Cambria Math" w:hAnsi="Cambria Math"/>
                    <w:color w:val="000000" w:themeColor="text1"/>
                    <w:sz w:val="20"/>
                    <w:szCs w:val="20"/>
                  </w:rPr>
                  <m:t>1/γ</m:t>
                </m:r>
              </m:oMath>
            </m:oMathPara>
          </w:p>
        </w:tc>
        <w:tc>
          <w:tcPr>
            <w:tcW w:w="3395" w:type="dxa"/>
          </w:tcPr>
          <w:p w14:paraId="5DB78736" w14:textId="7F19E791" w:rsidR="00725DBB" w:rsidRPr="00D85C1B" w:rsidRDefault="00725DBB" w:rsidP="00C810CE">
            <w:pPr>
              <w:rPr>
                <w:color w:val="000000" w:themeColor="text1"/>
                <w:sz w:val="20"/>
                <w:szCs w:val="20"/>
              </w:rPr>
            </w:pPr>
            <w:r w:rsidRPr="00D85C1B">
              <w:rPr>
                <w:color w:val="000000" w:themeColor="text1"/>
                <w:sz w:val="20"/>
                <w:szCs w:val="20"/>
              </w:rPr>
              <w:t xml:space="preserve">Infectious period </w:t>
            </w:r>
          </w:p>
        </w:tc>
        <w:tc>
          <w:tcPr>
            <w:tcW w:w="1434" w:type="dxa"/>
          </w:tcPr>
          <w:p w14:paraId="64CB17A7" w14:textId="6001B435" w:rsidR="00725DBB" w:rsidRPr="00D85C1B" w:rsidRDefault="00725DBB" w:rsidP="00C810CE">
            <w:pPr>
              <w:rPr>
                <w:color w:val="000000" w:themeColor="text1"/>
                <w:sz w:val="20"/>
                <w:szCs w:val="20"/>
              </w:rPr>
            </w:pPr>
            <w:r w:rsidRPr="00D85C1B">
              <w:rPr>
                <w:color w:val="000000" w:themeColor="text1"/>
                <w:sz w:val="20"/>
                <w:szCs w:val="20"/>
              </w:rPr>
              <w:t>N</w:t>
            </w:r>
          </w:p>
        </w:tc>
        <w:tc>
          <w:tcPr>
            <w:tcW w:w="1121" w:type="dxa"/>
          </w:tcPr>
          <w:p w14:paraId="5E57573B" w14:textId="3AE8112A" w:rsidR="00725DBB" w:rsidRPr="00D85C1B" w:rsidRDefault="00725DBB" w:rsidP="00C810CE">
            <w:pPr>
              <w:rPr>
                <w:color w:val="000000" w:themeColor="text1"/>
                <w:sz w:val="20"/>
                <w:szCs w:val="20"/>
              </w:rPr>
            </w:pPr>
            <w:r w:rsidRPr="00D85C1B">
              <w:rPr>
                <w:color w:val="000000" w:themeColor="text1"/>
                <w:sz w:val="20"/>
                <w:szCs w:val="20"/>
              </w:rPr>
              <w:t>N</w:t>
            </w:r>
          </w:p>
        </w:tc>
        <w:tc>
          <w:tcPr>
            <w:tcW w:w="1121" w:type="dxa"/>
          </w:tcPr>
          <w:p w14:paraId="57BA4C0C" w14:textId="61540C1E" w:rsidR="00725DBB" w:rsidRPr="00D85C1B" w:rsidRDefault="004A293F" w:rsidP="00C810CE">
            <w:pPr>
              <w:rPr>
                <w:color w:val="000000" w:themeColor="text1"/>
                <w:sz w:val="20"/>
                <w:szCs w:val="20"/>
              </w:rPr>
            </w:pPr>
            <w:r w:rsidRPr="00D85C1B">
              <w:rPr>
                <w:color w:val="000000" w:themeColor="text1"/>
                <w:sz w:val="20"/>
                <w:szCs w:val="20"/>
              </w:rPr>
              <w:t>5 days</w:t>
            </w:r>
          </w:p>
        </w:tc>
        <w:tc>
          <w:tcPr>
            <w:tcW w:w="2932" w:type="dxa"/>
          </w:tcPr>
          <w:p w14:paraId="21044B7E" w14:textId="34544D2F" w:rsidR="00725DBB" w:rsidRPr="00D85C1B" w:rsidRDefault="00412987" w:rsidP="00C810CE">
            <w:pPr>
              <w:rPr>
                <w:color w:val="000000" w:themeColor="text1"/>
                <w:sz w:val="20"/>
                <w:szCs w:val="20"/>
              </w:rPr>
            </w:pPr>
            <w:r w:rsidRPr="00D85C1B">
              <w:rPr>
                <w:color w:val="000000" w:themeColor="text1"/>
                <w:sz w:val="20"/>
                <w:szCs w:val="20"/>
              </w:rPr>
              <w:t>NA</w:t>
            </w:r>
          </w:p>
        </w:tc>
      </w:tr>
      <w:tr w:rsidR="00725DBB" w:rsidRPr="00D85C1B" w14:paraId="49239FE6" w14:textId="77777777" w:rsidTr="00412987">
        <w:trPr>
          <w:trHeight w:val="244"/>
        </w:trPr>
        <w:tc>
          <w:tcPr>
            <w:tcW w:w="1035" w:type="dxa"/>
          </w:tcPr>
          <w:p w14:paraId="0A780CFC" w14:textId="235FADC9" w:rsidR="00725DBB" w:rsidRPr="00D85C1B" w:rsidRDefault="00A54F99" w:rsidP="00725DBB">
            <w:pPr>
              <w:rPr>
                <w:rFonts w:eastAsia="Calibri"/>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w:rPr>
                        <w:rFonts w:ascii="Cambria Math" w:hAnsi="Cambria Math"/>
                        <w:color w:val="000000" w:themeColor="text1"/>
                        <w:sz w:val="20"/>
                        <w:szCs w:val="20"/>
                      </w:rPr>
                      <m:t>0</m:t>
                    </m:r>
                  </m:sub>
                </m:sSub>
              </m:oMath>
            </m:oMathPara>
          </w:p>
        </w:tc>
        <w:tc>
          <w:tcPr>
            <w:tcW w:w="3395" w:type="dxa"/>
          </w:tcPr>
          <w:p w14:paraId="3A96CD8E" w14:textId="11B37BE5" w:rsidR="00725DBB" w:rsidRPr="00D85C1B" w:rsidRDefault="00725DBB" w:rsidP="00725DBB">
            <w:pPr>
              <w:rPr>
                <w:color w:val="000000" w:themeColor="text1"/>
                <w:sz w:val="20"/>
                <w:szCs w:val="20"/>
              </w:rPr>
            </w:pPr>
            <w:r w:rsidRPr="00D85C1B">
              <w:rPr>
                <w:color w:val="000000" w:themeColor="text1"/>
                <w:sz w:val="20"/>
                <w:szCs w:val="20"/>
              </w:rPr>
              <w:t>Basic reproductive number</w:t>
            </w:r>
          </w:p>
        </w:tc>
        <w:tc>
          <w:tcPr>
            <w:tcW w:w="1434" w:type="dxa"/>
          </w:tcPr>
          <w:p w14:paraId="4658884B" w14:textId="4B65DCE5" w:rsidR="00725DBB" w:rsidRPr="00D85C1B" w:rsidRDefault="00725DBB" w:rsidP="00725DBB">
            <w:pPr>
              <w:rPr>
                <w:color w:val="000000" w:themeColor="text1"/>
                <w:sz w:val="20"/>
                <w:szCs w:val="20"/>
              </w:rPr>
            </w:pPr>
            <w:r w:rsidRPr="00D85C1B">
              <w:rPr>
                <w:color w:val="000000" w:themeColor="text1"/>
                <w:sz w:val="20"/>
                <w:szCs w:val="20"/>
              </w:rPr>
              <w:t xml:space="preserve">Seasonally </w:t>
            </w:r>
          </w:p>
        </w:tc>
        <w:tc>
          <w:tcPr>
            <w:tcW w:w="1121" w:type="dxa"/>
          </w:tcPr>
          <w:p w14:paraId="4D717891" w14:textId="2EAF4450"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152B2BEB" w14:textId="715748A8" w:rsidR="00725DBB" w:rsidRPr="00D85C1B" w:rsidRDefault="004A293F" w:rsidP="00725DBB">
            <w:pPr>
              <w:rPr>
                <w:color w:val="000000" w:themeColor="text1"/>
                <w:sz w:val="20"/>
                <w:szCs w:val="20"/>
              </w:rPr>
            </w:pPr>
            <w:r w:rsidRPr="00D85C1B">
              <w:rPr>
                <w:color w:val="000000" w:themeColor="text1"/>
                <w:sz w:val="20"/>
                <w:szCs w:val="20"/>
              </w:rPr>
              <w:t>29</w:t>
            </w:r>
          </w:p>
        </w:tc>
        <w:tc>
          <w:tcPr>
            <w:tcW w:w="2932" w:type="dxa"/>
          </w:tcPr>
          <w:p w14:paraId="344096A9" w14:textId="3423964A" w:rsidR="00725DBB" w:rsidRPr="00D85C1B" w:rsidRDefault="00FB3361" w:rsidP="00725DBB">
            <w:pPr>
              <w:rPr>
                <w:color w:val="000000" w:themeColor="text1"/>
                <w:sz w:val="20"/>
                <w:szCs w:val="20"/>
              </w:rPr>
            </w:pPr>
            <w:r>
              <w:rPr>
                <w:color w:val="000000" w:themeColor="text1"/>
                <w:sz w:val="20"/>
                <w:szCs w:val="20"/>
              </w:rPr>
              <w:t>See figure 2</w:t>
            </w:r>
          </w:p>
        </w:tc>
      </w:tr>
      <w:tr w:rsidR="00725DBB" w:rsidRPr="00D85C1B" w14:paraId="318DAAFD" w14:textId="77777777" w:rsidTr="00412987">
        <w:trPr>
          <w:trHeight w:val="255"/>
        </w:trPr>
        <w:tc>
          <w:tcPr>
            <w:tcW w:w="1035" w:type="dxa"/>
          </w:tcPr>
          <w:p w14:paraId="01930262" w14:textId="11893BA2"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α</m:t>
                </m:r>
              </m:oMath>
            </m:oMathPara>
          </w:p>
        </w:tc>
        <w:tc>
          <w:tcPr>
            <w:tcW w:w="3395" w:type="dxa"/>
          </w:tcPr>
          <w:p w14:paraId="7FCF1B0D" w14:textId="5434053C" w:rsidR="00725DBB" w:rsidRPr="00D85C1B" w:rsidRDefault="00725DBB" w:rsidP="00725DBB">
            <w:pPr>
              <w:rPr>
                <w:color w:val="000000" w:themeColor="text1"/>
                <w:sz w:val="20"/>
                <w:szCs w:val="20"/>
              </w:rPr>
            </w:pPr>
            <w:r w:rsidRPr="00D85C1B">
              <w:rPr>
                <w:color w:val="000000" w:themeColor="text1"/>
                <w:sz w:val="20"/>
                <w:szCs w:val="20"/>
              </w:rPr>
              <w:t>Heterogeneity parameter</w:t>
            </w:r>
          </w:p>
        </w:tc>
        <w:tc>
          <w:tcPr>
            <w:tcW w:w="1434" w:type="dxa"/>
          </w:tcPr>
          <w:p w14:paraId="474DBD6E" w14:textId="6AB9AB55"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0C690625" w14:textId="6FEEC23A"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341D8379" w14:textId="43DF45ED" w:rsidR="00725DBB" w:rsidRPr="00D85C1B" w:rsidRDefault="00725DBB" w:rsidP="00725DBB">
            <w:pPr>
              <w:rPr>
                <w:color w:val="000000" w:themeColor="text1"/>
                <w:sz w:val="20"/>
                <w:szCs w:val="20"/>
              </w:rPr>
            </w:pPr>
            <w:r w:rsidRPr="00D85C1B">
              <w:rPr>
                <w:color w:val="000000" w:themeColor="text1"/>
                <w:sz w:val="20"/>
                <w:szCs w:val="20"/>
              </w:rPr>
              <w:t>0.975</w:t>
            </w:r>
          </w:p>
        </w:tc>
        <w:tc>
          <w:tcPr>
            <w:tcW w:w="2932" w:type="dxa"/>
          </w:tcPr>
          <w:p w14:paraId="6B497E1D" w14:textId="2B9BA80F" w:rsidR="00725DBB" w:rsidRPr="00D85C1B" w:rsidRDefault="00412987" w:rsidP="00725DBB">
            <w:pPr>
              <w:rPr>
                <w:color w:val="000000" w:themeColor="text1"/>
                <w:sz w:val="20"/>
                <w:szCs w:val="20"/>
              </w:rPr>
            </w:pPr>
            <w:r w:rsidRPr="00D85C1B">
              <w:rPr>
                <w:color w:val="000000" w:themeColor="text1"/>
                <w:sz w:val="20"/>
                <w:szCs w:val="20"/>
              </w:rPr>
              <w:t>NA</w:t>
            </w:r>
          </w:p>
        </w:tc>
      </w:tr>
      <w:tr w:rsidR="00725DBB" w:rsidRPr="00D85C1B" w14:paraId="4B33E92C" w14:textId="77777777" w:rsidTr="00412987">
        <w:trPr>
          <w:trHeight w:val="244"/>
        </w:trPr>
        <w:tc>
          <w:tcPr>
            <w:tcW w:w="1035" w:type="dxa"/>
          </w:tcPr>
          <w:p w14:paraId="22E56AC7" w14:textId="59743D93"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ι</m:t>
                </m:r>
              </m:oMath>
            </m:oMathPara>
          </w:p>
        </w:tc>
        <w:tc>
          <w:tcPr>
            <w:tcW w:w="3395" w:type="dxa"/>
          </w:tcPr>
          <w:p w14:paraId="563E16FA" w14:textId="6DAA4E75" w:rsidR="00725DBB" w:rsidRPr="00D85C1B" w:rsidRDefault="00725DBB" w:rsidP="00725DBB">
            <w:pPr>
              <w:rPr>
                <w:color w:val="000000" w:themeColor="text1"/>
                <w:sz w:val="20"/>
                <w:szCs w:val="20"/>
              </w:rPr>
            </w:pPr>
            <w:r w:rsidRPr="00D85C1B">
              <w:rPr>
                <w:color w:val="000000" w:themeColor="text1"/>
                <w:sz w:val="20"/>
                <w:szCs w:val="20"/>
              </w:rPr>
              <w:t>Infectious import rate</w:t>
            </w:r>
          </w:p>
        </w:tc>
        <w:tc>
          <w:tcPr>
            <w:tcW w:w="1434" w:type="dxa"/>
          </w:tcPr>
          <w:p w14:paraId="270467FD" w14:textId="1209187A"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6F160F5A" w14:textId="4FB35ACD"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3C57E39C" w14:textId="180C0877" w:rsidR="00725DBB" w:rsidRPr="00D85C1B" w:rsidRDefault="004A293F" w:rsidP="00725DBB">
            <w:pPr>
              <w:rPr>
                <w:color w:val="000000" w:themeColor="text1"/>
                <w:sz w:val="20"/>
                <w:szCs w:val="20"/>
              </w:rPr>
            </w:pPr>
            <w:r w:rsidRPr="00D85C1B">
              <w:rPr>
                <w:color w:val="000000" w:themeColor="text1"/>
                <w:sz w:val="20"/>
                <w:szCs w:val="20"/>
              </w:rPr>
              <w:t>0.31</w:t>
            </w:r>
          </w:p>
        </w:tc>
        <w:tc>
          <w:tcPr>
            <w:tcW w:w="2932" w:type="dxa"/>
          </w:tcPr>
          <w:p w14:paraId="12C3B184" w14:textId="7CF5AA8D" w:rsidR="00725DBB" w:rsidRPr="00D85C1B" w:rsidRDefault="00797D6F" w:rsidP="00725DBB">
            <w:pPr>
              <w:rPr>
                <w:color w:val="000000" w:themeColor="text1"/>
                <w:sz w:val="20"/>
                <w:szCs w:val="20"/>
              </w:rPr>
            </w:pPr>
            <w:r>
              <w:rPr>
                <w:color w:val="000000" w:themeColor="text1"/>
                <w:sz w:val="20"/>
                <w:szCs w:val="20"/>
              </w:rPr>
              <w:t>0.30 – 0.31</w:t>
            </w:r>
          </w:p>
        </w:tc>
      </w:tr>
      <w:tr w:rsidR="00725DBB" w:rsidRPr="00D85C1B" w14:paraId="0CD3E1CE" w14:textId="77777777" w:rsidTr="00412987">
        <w:trPr>
          <w:trHeight w:val="244"/>
        </w:trPr>
        <w:tc>
          <w:tcPr>
            <w:tcW w:w="1035" w:type="dxa"/>
          </w:tcPr>
          <w:p w14:paraId="21851E3E" w14:textId="1650FE8B" w:rsidR="00725DBB" w:rsidRPr="00D85C1B" w:rsidRDefault="00A54F99"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C</m:t>
                    </m:r>
                  </m:sub>
                </m:sSub>
              </m:oMath>
            </m:oMathPara>
          </w:p>
        </w:tc>
        <w:tc>
          <w:tcPr>
            <w:tcW w:w="3395" w:type="dxa"/>
          </w:tcPr>
          <w:p w14:paraId="0AE60186" w14:textId="2ADA1FAA" w:rsidR="00725DBB" w:rsidRPr="00D85C1B" w:rsidRDefault="00725DBB" w:rsidP="00725DBB">
            <w:pPr>
              <w:rPr>
                <w:color w:val="000000" w:themeColor="text1"/>
                <w:sz w:val="20"/>
                <w:szCs w:val="20"/>
              </w:rPr>
            </w:pPr>
            <w:r w:rsidRPr="00D85C1B">
              <w:rPr>
                <w:color w:val="000000" w:themeColor="text1"/>
                <w:sz w:val="20"/>
                <w:szCs w:val="20"/>
              </w:rPr>
              <w:t>Reporting rate (cases)</w:t>
            </w:r>
          </w:p>
        </w:tc>
        <w:tc>
          <w:tcPr>
            <w:tcW w:w="1434" w:type="dxa"/>
          </w:tcPr>
          <w:p w14:paraId="34D532B8" w14:textId="01FCAE42"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720789CB" w14:textId="6D6B7D50"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263E1F7E" w14:textId="09255709" w:rsidR="00725DBB" w:rsidRPr="00D85C1B" w:rsidRDefault="004A293F" w:rsidP="00725DBB">
            <w:pPr>
              <w:rPr>
                <w:color w:val="000000" w:themeColor="text1"/>
                <w:sz w:val="20"/>
                <w:szCs w:val="20"/>
              </w:rPr>
            </w:pPr>
            <w:r w:rsidRPr="00D85C1B">
              <w:rPr>
                <w:color w:val="000000" w:themeColor="text1"/>
                <w:sz w:val="20"/>
                <w:szCs w:val="20"/>
              </w:rPr>
              <w:t>50%</w:t>
            </w:r>
          </w:p>
        </w:tc>
        <w:tc>
          <w:tcPr>
            <w:tcW w:w="2932" w:type="dxa"/>
          </w:tcPr>
          <w:p w14:paraId="384AEA3C" w14:textId="1D17C356" w:rsidR="00725DBB" w:rsidRPr="00D85C1B" w:rsidRDefault="004A293F" w:rsidP="00725DBB">
            <w:pPr>
              <w:rPr>
                <w:color w:val="000000" w:themeColor="text1"/>
                <w:sz w:val="20"/>
                <w:szCs w:val="20"/>
              </w:rPr>
            </w:pPr>
            <w:r w:rsidRPr="00D85C1B">
              <w:rPr>
                <w:color w:val="000000" w:themeColor="text1"/>
                <w:sz w:val="20"/>
                <w:szCs w:val="20"/>
              </w:rPr>
              <w:t>NA</w:t>
            </w:r>
          </w:p>
        </w:tc>
      </w:tr>
      <w:tr w:rsidR="00725DBB" w:rsidRPr="00D85C1B" w14:paraId="5585A33F" w14:textId="77777777" w:rsidTr="00412987">
        <w:trPr>
          <w:trHeight w:val="255"/>
        </w:trPr>
        <w:tc>
          <w:tcPr>
            <w:tcW w:w="1035" w:type="dxa"/>
          </w:tcPr>
          <w:p w14:paraId="378A4B91" w14:textId="119C7CBD" w:rsidR="00725DBB" w:rsidRPr="00D85C1B" w:rsidRDefault="00A54F99"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oMath>
            </m:oMathPara>
          </w:p>
        </w:tc>
        <w:tc>
          <w:tcPr>
            <w:tcW w:w="3395" w:type="dxa"/>
          </w:tcPr>
          <w:p w14:paraId="4F81C833" w14:textId="0CFD97F3" w:rsidR="00725DBB" w:rsidRPr="00D85C1B" w:rsidRDefault="00725DBB" w:rsidP="00725DBB">
            <w:pPr>
              <w:rPr>
                <w:color w:val="000000" w:themeColor="text1"/>
                <w:sz w:val="20"/>
                <w:szCs w:val="20"/>
              </w:rPr>
            </w:pPr>
            <w:r w:rsidRPr="00D85C1B">
              <w:rPr>
                <w:color w:val="000000" w:themeColor="text1"/>
                <w:sz w:val="20"/>
                <w:szCs w:val="20"/>
              </w:rPr>
              <w:t>Reporting rate (deaths)</w:t>
            </w:r>
          </w:p>
        </w:tc>
        <w:tc>
          <w:tcPr>
            <w:tcW w:w="1434" w:type="dxa"/>
          </w:tcPr>
          <w:p w14:paraId="40EA3427" w14:textId="55B5CB5A"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73DF9E05" w14:textId="38B75CAF"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64BE2E8F" w14:textId="5079D0DB" w:rsidR="00725DBB" w:rsidRPr="00D85C1B" w:rsidRDefault="004A293F" w:rsidP="00725DBB">
            <w:pPr>
              <w:rPr>
                <w:color w:val="000000" w:themeColor="text1"/>
                <w:sz w:val="20"/>
                <w:szCs w:val="20"/>
              </w:rPr>
            </w:pPr>
            <w:r w:rsidRPr="00D85C1B">
              <w:rPr>
                <w:color w:val="000000" w:themeColor="text1"/>
                <w:sz w:val="20"/>
                <w:szCs w:val="20"/>
              </w:rPr>
              <w:t>100%</w:t>
            </w:r>
          </w:p>
        </w:tc>
        <w:tc>
          <w:tcPr>
            <w:tcW w:w="2932" w:type="dxa"/>
          </w:tcPr>
          <w:p w14:paraId="6F0D10D1" w14:textId="21D800AE" w:rsidR="00725DBB" w:rsidRPr="00D85C1B" w:rsidRDefault="004A293F" w:rsidP="00725DBB">
            <w:pPr>
              <w:rPr>
                <w:color w:val="000000" w:themeColor="text1"/>
                <w:sz w:val="20"/>
                <w:szCs w:val="20"/>
              </w:rPr>
            </w:pPr>
            <w:r w:rsidRPr="00D85C1B">
              <w:rPr>
                <w:color w:val="000000" w:themeColor="text1"/>
                <w:sz w:val="20"/>
                <w:szCs w:val="20"/>
              </w:rPr>
              <w:t>NA</w:t>
            </w:r>
          </w:p>
        </w:tc>
      </w:tr>
      <w:tr w:rsidR="00725DBB" w:rsidRPr="00D85C1B" w14:paraId="3E25412D" w14:textId="77777777" w:rsidTr="00412987">
        <w:trPr>
          <w:trHeight w:val="244"/>
        </w:trPr>
        <w:tc>
          <w:tcPr>
            <w:tcW w:w="1035" w:type="dxa"/>
          </w:tcPr>
          <w:p w14:paraId="02D49835" w14:textId="53BB91AE" w:rsidR="00725DBB" w:rsidRPr="00D85C1B" w:rsidRDefault="00A54F99"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r>
                      <w:rPr>
                        <w:rFonts w:ascii="Cambria Math" w:hAnsi="Cambria Math"/>
                        <w:color w:val="000000" w:themeColor="text1"/>
                        <w:sz w:val="20"/>
                        <w:szCs w:val="20"/>
                      </w:rPr>
                      <m:t>SE</m:t>
                    </m:r>
                  </m:sub>
                </m:sSub>
              </m:oMath>
            </m:oMathPara>
          </w:p>
        </w:tc>
        <w:tc>
          <w:tcPr>
            <w:tcW w:w="3395" w:type="dxa"/>
          </w:tcPr>
          <w:p w14:paraId="30DFE772" w14:textId="7E149265" w:rsidR="00725DBB" w:rsidRPr="00D85C1B" w:rsidRDefault="00725DBB" w:rsidP="00725DBB">
            <w:pPr>
              <w:rPr>
                <w:color w:val="000000" w:themeColor="text1"/>
                <w:sz w:val="20"/>
                <w:szCs w:val="20"/>
              </w:rPr>
            </w:pPr>
            <w:r w:rsidRPr="00D85C1B">
              <w:rPr>
                <w:color w:val="000000" w:themeColor="text1"/>
                <w:sz w:val="20"/>
                <w:szCs w:val="20"/>
              </w:rPr>
              <w:t>Multiplicative white noise</w:t>
            </w:r>
          </w:p>
        </w:tc>
        <w:tc>
          <w:tcPr>
            <w:tcW w:w="1434" w:type="dxa"/>
          </w:tcPr>
          <w:p w14:paraId="18BED11E" w14:textId="3A473070"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6B692810" w14:textId="78ED0A76"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3C32E88C" w14:textId="04BE69F5" w:rsidR="00725DBB" w:rsidRPr="00D85C1B" w:rsidRDefault="004C7A17" w:rsidP="00725DBB">
            <w:pPr>
              <w:rPr>
                <w:color w:val="000000" w:themeColor="text1"/>
                <w:sz w:val="20"/>
                <w:szCs w:val="20"/>
              </w:rPr>
            </w:pPr>
            <w:r w:rsidRPr="00D85C1B">
              <w:rPr>
                <w:color w:val="000000" w:themeColor="text1"/>
                <w:sz w:val="20"/>
                <w:szCs w:val="20"/>
              </w:rPr>
              <w:t>9.6e-5</w:t>
            </w:r>
          </w:p>
        </w:tc>
        <w:tc>
          <w:tcPr>
            <w:tcW w:w="2932" w:type="dxa"/>
          </w:tcPr>
          <w:p w14:paraId="08100AB8" w14:textId="4073FBC0" w:rsidR="00725DBB" w:rsidRPr="00D85C1B" w:rsidRDefault="00797D6F" w:rsidP="00725DBB">
            <w:pPr>
              <w:rPr>
                <w:color w:val="000000" w:themeColor="text1"/>
                <w:sz w:val="20"/>
                <w:szCs w:val="20"/>
              </w:rPr>
            </w:pPr>
            <w:r>
              <w:rPr>
                <w:color w:val="000000" w:themeColor="text1"/>
                <w:sz w:val="20"/>
                <w:szCs w:val="20"/>
              </w:rPr>
              <w:t xml:space="preserve">7.8e-5 - 2.9e-4 </w:t>
            </w:r>
          </w:p>
        </w:tc>
      </w:tr>
      <w:tr w:rsidR="00725DBB" w:rsidRPr="00D85C1B" w14:paraId="15AE4D83" w14:textId="77777777" w:rsidTr="00412987">
        <w:trPr>
          <w:trHeight w:val="255"/>
        </w:trPr>
        <w:tc>
          <w:tcPr>
            <w:tcW w:w="1035" w:type="dxa"/>
          </w:tcPr>
          <w:p w14:paraId="7C0D6D47" w14:textId="2D10D0A9" w:rsidR="00725DBB" w:rsidRPr="00D85C1B" w:rsidRDefault="00A54F99"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C</m:t>
                    </m:r>
                  </m:sub>
                </m:sSub>
              </m:oMath>
            </m:oMathPara>
          </w:p>
        </w:tc>
        <w:tc>
          <w:tcPr>
            <w:tcW w:w="3395" w:type="dxa"/>
          </w:tcPr>
          <w:p w14:paraId="2A2629BE" w14:textId="5F3C56EA" w:rsidR="00725DBB" w:rsidRPr="00D85C1B" w:rsidRDefault="00725DBB" w:rsidP="00725DBB">
            <w:pPr>
              <w:rPr>
                <w:color w:val="000000" w:themeColor="text1"/>
                <w:sz w:val="20"/>
                <w:szCs w:val="20"/>
              </w:rPr>
            </w:pPr>
            <w:r w:rsidRPr="00D85C1B">
              <w:rPr>
                <w:color w:val="000000" w:themeColor="text1"/>
                <w:sz w:val="20"/>
                <w:szCs w:val="20"/>
              </w:rPr>
              <w:t>Reporting dispersion (cases)</w:t>
            </w:r>
          </w:p>
        </w:tc>
        <w:tc>
          <w:tcPr>
            <w:tcW w:w="1434" w:type="dxa"/>
          </w:tcPr>
          <w:p w14:paraId="151C15B3" w14:textId="581A0304"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717925ED" w14:textId="41691F92"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4FB0F440" w14:textId="5C5284D2" w:rsidR="00725DBB" w:rsidRPr="00D85C1B" w:rsidRDefault="004C7A17" w:rsidP="00725DBB">
            <w:pPr>
              <w:rPr>
                <w:color w:val="000000" w:themeColor="text1"/>
                <w:sz w:val="20"/>
                <w:szCs w:val="20"/>
              </w:rPr>
            </w:pPr>
            <w:r w:rsidRPr="00D85C1B">
              <w:rPr>
                <w:color w:val="000000" w:themeColor="text1"/>
                <w:sz w:val="20"/>
                <w:szCs w:val="20"/>
              </w:rPr>
              <w:t>6e-4</w:t>
            </w:r>
          </w:p>
        </w:tc>
        <w:tc>
          <w:tcPr>
            <w:tcW w:w="2932" w:type="dxa"/>
          </w:tcPr>
          <w:p w14:paraId="52971E87" w14:textId="55123415" w:rsidR="00725DBB" w:rsidRPr="00D85C1B" w:rsidRDefault="00797D6F" w:rsidP="00725DBB">
            <w:pPr>
              <w:rPr>
                <w:color w:val="000000" w:themeColor="text1"/>
                <w:sz w:val="20"/>
                <w:szCs w:val="20"/>
              </w:rPr>
            </w:pPr>
            <w:r>
              <w:rPr>
                <w:color w:val="000000" w:themeColor="text1"/>
                <w:sz w:val="20"/>
                <w:szCs w:val="20"/>
              </w:rPr>
              <w:t>4.9e-4 – 9.1e-4</w:t>
            </w:r>
          </w:p>
        </w:tc>
      </w:tr>
      <w:tr w:rsidR="00725DBB" w:rsidRPr="00D85C1B" w14:paraId="2A79ACF2" w14:textId="77777777" w:rsidTr="00412987">
        <w:trPr>
          <w:trHeight w:val="244"/>
        </w:trPr>
        <w:tc>
          <w:tcPr>
            <w:tcW w:w="1035" w:type="dxa"/>
          </w:tcPr>
          <w:p w14:paraId="5AE05AF4" w14:textId="0CF9CC44" w:rsidR="00725DBB" w:rsidRPr="00D85C1B" w:rsidRDefault="00A54F99"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D</m:t>
                    </m:r>
                  </m:sub>
                </m:sSub>
              </m:oMath>
            </m:oMathPara>
          </w:p>
        </w:tc>
        <w:tc>
          <w:tcPr>
            <w:tcW w:w="3395" w:type="dxa"/>
          </w:tcPr>
          <w:p w14:paraId="6C0E1D9A" w14:textId="62A5999D" w:rsidR="00725DBB" w:rsidRPr="00D85C1B" w:rsidRDefault="00725DBB" w:rsidP="00725DBB">
            <w:pPr>
              <w:rPr>
                <w:color w:val="000000" w:themeColor="text1"/>
                <w:sz w:val="20"/>
                <w:szCs w:val="20"/>
              </w:rPr>
            </w:pPr>
            <w:r w:rsidRPr="00D85C1B">
              <w:rPr>
                <w:color w:val="000000" w:themeColor="text1"/>
                <w:sz w:val="20"/>
                <w:szCs w:val="20"/>
              </w:rPr>
              <w:t>Reporting dispersion (deaths)</w:t>
            </w:r>
          </w:p>
        </w:tc>
        <w:tc>
          <w:tcPr>
            <w:tcW w:w="1434" w:type="dxa"/>
          </w:tcPr>
          <w:p w14:paraId="74928A6A" w14:textId="78F2917B"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34D4ECE2" w14:textId="553DDD8C"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679074FD" w14:textId="68E41BC6" w:rsidR="00725DBB" w:rsidRPr="00D85C1B" w:rsidRDefault="004C7A17" w:rsidP="00725DBB">
            <w:pPr>
              <w:rPr>
                <w:color w:val="000000" w:themeColor="text1"/>
                <w:sz w:val="20"/>
                <w:szCs w:val="20"/>
              </w:rPr>
            </w:pPr>
            <w:r w:rsidRPr="00D85C1B">
              <w:rPr>
                <w:color w:val="000000" w:themeColor="text1"/>
                <w:sz w:val="20"/>
                <w:szCs w:val="20"/>
              </w:rPr>
              <w:t>2e-5</w:t>
            </w:r>
          </w:p>
        </w:tc>
        <w:tc>
          <w:tcPr>
            <w:tcW w:w="2932" w:type="dxa"/>
          </w:tcPr>
          <w:p w14:paraId="2BE4F46A" w14:textId="3C087B9B" w:rsidR="00725DBB" w:rsidRPr="00D85C1B" w:rsidRDefault="00797D6F" w:rsidP="00725DBB">
            <w:pPr>
              <w:rPr>
                <w:color w:val="000000" w:themeColor="text1"/>
                <w:sz w:val="20"/>
                <w:szCs w:val="20"/>
              </w:rPr>
            </w:pPr>
            <w:r w:rsidRPr="00797D6F">
              <w:rPr>
                <w:color w:val="000000" w:themeColor="text1"/>
                <w:sz w:val="20"/>
                <w:szCs w:val="20"/>
              </w:rPr>
              <w:t>1.</w:t>
            </w:r>
            <w:r>
              <w:rPr>
                <w:color w:val="000000" w:themeColor="text1"/>
                <w:sz w:val="20"/>
                <w:szCs w:val="20"/>
              </w:rPr>
              <w:t>4</w:t>
            </w:r>
            <w:r w:rsidRPr="00797D6F">
              <w:rPr>
                <w:color w:val="000000" w:themeColor="text1"/>
                <w:sz w:val="20"/>
                <w:szCs w:val="20"/>
              </w:rPr>
              <w:t xml:space="preserve">e-5 </w:t>
            </w:r>
            <w:r>
              <w:rPr>
                <w:color w:val="000000" w:themeColor="text1"/>
                <w:sz w:val="20"/>
                <w:szCs w:val="20"/>
              </w:rPr>
              <w:t xml:space="preserve">- </w:t>
            </w:r>
            <w:r w:rsidRPr="00797D6F">
              <w:rPr>
                <w:color w:val="000000" w:themeColor="text1"/>
                <w:sz w:val="20"/>
                <w:szCs w:val="20"/>
              </w:rPr>
              <w:t>3.1e-5</w:t>
            </w:r>
          </w:p>
        </w:tc>
      </w:tr>
      <w:tr w:rsidR="00725DBB" w:rsidRPr="00D85C1B" w14:paraId="2C46D2F7" w14:textId="77777777" w:rsidTr="00412987">
        <w:trPr>
          <w:trHeight w:val="255"/>
        </w:trPr>
        <w:tc>
          <w:tcPr>
            <w:tcW w:w="1035" w:type="dxa"/>
          </w:tcPr>
          <w:p w14:paraId="18EC841A" w14:textId="18D1F416"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c</m:t>
                </m:r>
              </m:oMath>
            </m:oMathPara>
          </w:p>
        </w:tc>
        <w:tc>
          <w:tcPr>
            <w:tcW w:w="3395" w:type="dxa"/>
          </w:tcPr>
          <w:p w14:paraId="44949829" w14:textId="3794767D" w:rsidR="00725DBB" w:rsidRPr="00D85C1B" w:rsidRDefault="00725DBB" w:rsidP="00725DBB">
            <w:pPr>
              <w:rPr>
                <w:color w:val="000000" w:themeColor="text1"/>
                <w:sz w:val="20"/>
                <w:szCs w:val="20"/>
              </w:rPr>
            </w:pPr>
            <w:r w:rsidRPr="00D85C1B">
              <w:rPr>
                <w:color w:val="000000" w:themeColor="text1"/>
                <w:sz w:val="20"/>
                <w:szCs w:val="20"/>
              </w:rPr>
              <w:t>Cohort effect</w:t>
            </w:r>
          </w:p>
        </w:tc>
        <w:tc>
          <w:tcPr>
            <w:tcW w:w="1434" w:type="dxa"/>
          </w:tcPr>
          <w:p w14:paraId="139E3803" w14:textId="0CC42482"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37D779C5" w14:textId="5A24EA50"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60675A9F" w14:textId="7690DC7F" w:rsidR="00725DBB" w:rsidRPr="00D85C1B" w:rsidRDefault="004C7A17" w:rsidP="00725DBB">
            <w:pPr>
              <w:rPr>
                <w:color w:val="000000" w:themeColor="text1"/>
                <w:sz w:val="20"/>
                <w:szCs w:val="20"/>
              </w:rPr>
            </w:pPr>
            <w:r w:rsidRPr="00D85C1B">
              <w:rPr>
                <w:color w:val="000000" w:themeColor="text1"/>
                <w:sz w:val="20"/>
                <w:szCs w:val="20"/>
              </w:rPr>
              <w:t>2e-3</w:t>
            </w:r>
          </w:p>
        </w:tc>
        <w:tc>
          <w:tcPr>
            <w:tcW w:w="2932" w:type="dxa"/>
          </w:tcPr>
          <w:p w14:paraId="780C80B7" w14:textId="710860D3" w:rsidR="00725DBB" w:rsidRPr="00D85C1B" w:rsidRDefault="00797D6F" w:rsidP="00725DBB">
            <w:pPr>
              <w:rPr>
                <w:color w:val="000000" w:themeColor="text1"/>
                <w:sz w:val="20"/>
                <w:szCs w:val="20"/>
              </w:rPr>
            </w:pPr>
            <w:r>
              <w:rPr>
                <w:color w:val="000000" w:themeColor="text1"/>
                <w:sz w:val="20"/>
                <w:szCs w:val="20"/>
              </w:rPr>
              <w:t>1.8e-3 - 3.1e-3</w:t>
            </w:r>
          </w:p>
        </w:tc>
      </w:tr>
      <w:tr w:rsidR="00725DBB" w:rsidRPr="00D85C1B" w14:paraId="4CA9244E" w14:textId="77777777" w:rsidTr="00412987">
        <w:trPr>
          <w:trHeight w:val="244"/>
        </w:trPr>
        <w:tc>
          <w:tcPr>
            <w:tcW w:w="1035" w:type="dxa"/>
          </w:tcPr>
          <w:p w14:paraId="34181656" w14:textId="03B20CB0"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S(0)</m:t>
                </m:r>
              </m:oMath>
            </m:oMathPara>
          </w:p>
        </w:tc>
        <w:tc>
          <w:tcPr>
            <w:tcW w:w="3395" w:type="dxa"/>
          </w:tcPr>
          <w:p w14:paraId="1B1DBB75" w14:textId="20DB6D99" w:rsidR="00725DBB" w:rsidRPr="00D85C1B" w:rsidRDefault="00725DBB" w:rsidP="00725DBB">
            <w:pPr>
              <w:rPr>
                <w:color w:val="000000" w:themeColor="text1"/>
                <w:sz w:val="20"/>
                <w:szCs w:val="20"/>
              </w:rPr>
            </w:pPr>
            <w:r w:rsidRPr="00D85C1B">
              <w:rPr>
                <w:color w:val="000000" w:themeColor="text1"/>
                <w:sz w:val="20"/>
                <w:szCs w:val="20"/>
              </w:rPr>
              <w:t>Initial proportion susceptible</w:t>
            </w:r>
          </w:p>
        </w:tc>
        <w:tc>
          <w:tcPr>
            <w:tcW w:w="1434" w:type="dxa"/>
          </w:tcPr>
          <w:p w14:paraId="5EAD45A7" w14:textId="5BB9366A"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385602D1" w14:textId="5A9D286E"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56B6DC06" w14:textId="69776BAC" w:rsidR="00725DBB" w:rsidRPr="00D85C1B" w:rsidRDefault="004A293F" w:rsidP="00725DBB">
            <w:pPr>
              <w:rPr>
                <w:color w:val="000000" w:themeColor="text1"/>
                <w:sz w:val="20"/>
                <w:szCs w:val="20"/>
              </w:rPr>
            </w:pPr>
            <w:r w:rsidRPr="00D85C1B">
              <w:rPr>
                <w:color w:val="000000" w:themeColor="text1"/>
                <w:sz w:val="20"/>
                <w:szCs w:val="20"/>
              </w:rPr>
              <w:t>0.031</w:t>
            </w:r>
            <w:r w:rsidR="00797D6F">
              <w:rPr>
                <w:color w:val="000000" w:themeColor="text1"/>
                <w:sz w:val="20"/>
                <w:szCs w:val="20"/>
              </w:rPr>
              <w:t>1</w:t>
            </w:r>
          </w:p>
        </w:tc>
        <w:tc>
          <w:tcPr>
            <w:tcW w:w="2932" w:type="dxa"/>
          </w:tcPr>
          <w:p w14:paraId="4023B2B0" w14:textId="67883FE7" w:rsidR="00725DBB" w:rsidRPr="00D85C1B" w:rsidRDefault="00797D6F" w:rsidP="00725DBB">
            <w:pPr>
              <w:rPr>
                <w:color w:val="000000" w:themeColor="text1"/>
                <w:sz w:val="20"/>
                <w:szCs w:val="20"/>
              </w:rPr>
            </w:pPr>
            <w:r>
              <w:rPr>
                <w:color w:val="000000" w:themeColor="text1"/>
                <w:sz w:val="20"/>
                <w:szCs w:val="20"/>
              </w:rPr>
              <w:t>0.031 – 0.317</w:t>
            </w:r>
          </w:p>
        </w:tc>
      </w:tr>
      <w:tr w:rsidR="00725DBB" w:rsidRPr="00D85C1B" w14:paraId="11CE1AF6" w14:textId="77777777" w:rsidTr="00412987">
        <w:trPr>
          <w:trHeight w:val="255"/>
        </w:trPr>
        <w:tc>
          <w:tcPr>
            <w:tcW w:w="1035" w:type="dxa"/>
          </w:tcPr>
          <w:p w14:paraId="0FE2B27C" w14:textId="18AC5B6E"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E(0)</m:t>
                </m:r>
              </m:oMath>
            </m:oMathPara>
          </w:p>
        </w:tc>
        <w:tc>
          <w:tcPr>
            <w:tcW w:w="3395" w:type="dxa"/>
          </w:tcPr>
          <w:p w14:paraId="06E5F2FA" w14:textId="54C44540" w:rsidR="00725DBB" w:rsidRPr="00D85C1B" w:rsidRDefault="00725DBB" w:rsidP="00725DBB">
            <w:pPr>
              <w:rPr>
                <w:color w:val="000000" w:themeColor="text1"/>
                <w:sz w:val="20"/>
                <w:szCs w:val="20"/>
              </w:rPr>
            </w:pPr>
            <w:r w:rsidRPr="00D85C1B">
              <w:rPr>
                <w:color w:val="000000" w:themeColor="text1"/>
                <w:sz w:val="20"/>
                <w:szCs w:val="20"/>
              </w:rPr>
              <w:t>Initial proportion exposed</w:t>
            </w:r>
          </w:p>
        </w:tc>
        <w:tc>
          <w:tcPr>
            <w:tcW w:w="1434" w:type="dxa"/>
          </w:tcPr>
          <w:p w14:paraId="3EA70F93" w14:textId="6B695A45"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2A0D616E" w14:textId="59E25329"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5E5F896F" w14:textId="3F23ADEF" w:rsidR="00725DBB" w:rsidRPr="00D85C1B" w:rsidRDefault="004A293F" w:rsidP="00725DBB">
            <w:pPr>
              <w:rPr>
                <w:color w:val="000000" w:themeColor="text1"/>
                <w:sz w:val="20"/>
                <w:szCs w:val="20"/>
              </w:rPr>
            </w:pPr>
            <w:r w:rsidRPr="00D85C1B">
              <w:rPr>
                <w:color w:val="000000" w:themeColor="text1"/>
                <w:sz w:val="20"/>
                <w:szCs w:val="20"/>
              </w:rPr>
              <w:t>5e-4</w:t>
            </w:r>
          </w:p>
        </w:tc>
        <w:tc>
          <w:tcPr>
            <w:tcW w:w="2932" w:type="dxa"/>
          </w:tcPr>
          <w:p w14:paraId="12284450" w14:textId="4A6B3A89" w:rsidR="00725DBB" w:rsidRPr="00D85C1B" w:rsidRDefault="00797D6F" w:rsidP="00725DBB">
            <w:pPr>
              <w:rPr>
                <w:color w:val="000000" w:themeColor="text1"/>
                <w:sz w:val="20"/>
                <w:szCs w:val="20"/>
              </w:rPr>
            </w:pPr>
            <w:r>
              <w:rPr>
                <w:color w:val="000000" w:themeColor="text1"/>
                <w:sz w:val="20"/>
                <w:szCs w:val="20"/>
              </w:rPr>
              <w:t>5e-5 – 5.1e-5</w:t>
            </w:r>
          </w:p>
        </w:tc>
      </w:tr>
      <w:tr w:rsidR="00725DBB" w:rsidRPr="00D85C1B" w14:paraId="69DE3651" w14:textId="77777777" w:rsidTr="00412987">
        <w:trPr>
          <w:trHeight w:val="244"/>
        </w:trPr>
        <w:tc>
          <w:tcPr>
            <w:tcW w:w="1035" w:type="dxa"/>
          </w:tcPr>
          <w:p w14:paraId="2AED0BD6" w14:textId="4CB2C62E"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I(0)</m:t>
                </m:r>
              </m:oMath>
            </m:oMathPara>
          </w:p>
        </w:tc>
        <w:tc>
          <w:tcPr>
            <w:tcW w:w="3395" w:type="dxa"/>
          </w:tcPr>
          <w:p w14:paraId="62EBDA9F" w14:textId="138AC4EC" w:rsidR="00725DBB" w:rsidRPr="00D85C1B" w:rsidRDefault="00725DBB" w:rsidP="00725DBB">
            <w:pPr>
              <w:rPr>
                <w:color w:val="000000" w:themeColor="text1"/>
                <w:sz w:val="20"/>
                <w:szCs w:val="20"/>
              </w:rPr>
            </w:pPr>
            <w:r w:rsidRPr="00D85C1B">
              <w:rPr>
                <w:color w:val="000000" w:themeColor="text1"/>
                <w:sz w:val="20"/>
                <w:szCs w:val="20"/>
              </w:rPr>
              <w:t>Initial proportion initials</w:t>
            </w:r>
          </w:p>
        </w:tc>
        <w:tc>
          <w:tcPr>
            <w:tcW w:w="1434" w:type="dxa"/>
          </w:tcPr>
          <w:p w14:paraId="0D2EE35A" w14:textId="43B8FA22"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5AD4A226" w14:textId="0DDC5CD7"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2A5D7D53" w14:textId="1A7DDB62" w:rsidR="00725DBB" w:rsidRPr="00D85C1B" w:rsidRDefault="00797D6F" w:rsidP="00725DBB">
            <w:pPr>
              <w:rPr>
                <w:color w:val="000000" w:themeColor="text1"/>
                <w:sz w:val="20"/>
                <w:szCs w:val="20"/>
              </w:rPr>
            </w:pPr>
            <w:r>
              <w:rPr>
                <w:color w:val="000000" w:themeColor="text1"/>
                <w:sz w:val="20"/>
                <w:szCs w:val="20"/>
              </w:rPr>
              <w:t>2.66</w:t>
            </w:r>
            <w:r w:rsidR="004A293F" w:rsidRPr="00D85C1B">
              <w:rPr>
                <w:color w:val="000000" w:themeColor="text1"/>
                <w:sz w:val="20"/>
                <w:szCs w:val="20"/>
              </w:rPr>
              <w:t>e-4</w:t>
            </w:r>
          </w:p>
        </w:tc>
        <w:tc>
          <w:tcPr>
            <w:tcW w:w="2932" w:type="dxa"/>
          </w:tcPr>
          <w:p w14:paraId="5F9D93BF" w14:textId="314E2EFB" w:rsidR="00725DBB" w:rsidRPr="00D85C1B" w:rsidRDefault="00797D6F" w:rsidP="00725DBB">
            <w:pPr>
              <w:rPr>
                <w:color w:val="000000" w:themeColor="text1"/>
                <w:sz w:val="20"/>
                <w:szCs w:val="20"/>
              </w:rPr>
            </w:pPr>
            <w:r>
              <w:rPr>
                <w:color w:val="000000" w:themeColor="text1"/>
                <w:sz w:val="20"/>
                <w:szCs w:val="20"/>
              </w:rPr>
              <w:t xml:space="preserve">2.65e-4 – </w:t>
            </w:r>
            <w:r w:rsidRPr="00797D6F">
              <w:rPr>
                <w:color w:val="000000" w:themeColor="text1"/>
                <w:sz w:val="20"/>
                <w:szCs w:val="20"/>
              </w:rPr>
              <w:t>2</w:t>
            </w:r>
            <w:r>
              <w:rPr>
                <w:color w:val="000000" w:themeColor="text1"/>
                <w:sz w:val="20"/>
                <w:szCs w:val="20"/>
              </w:rPr>
              <w:t>.</w:t>
            </w:r>
            <w:r w:rsidRPr="00797D6F">
              <w:rPr>
                <w:color w:val="000000" w:themeColor="text1"/>
                <w:sz w:val="20"/>
                <w:szCs w:val="20"/>
              </w:rPr>
              <w:t>69</w:t>
            </w:r>
            <w:r>
              <w:rPr>
                <w:color w:val="000000" w:themeColor="text1"/>
                <w:sz w:val="20"/>
                <w:szCs w:val="20"/>
              </w:rPr>
              <w:t>e-4</w:t>
            </w:r>
          </w:p>
        </w:tc>
      </w:tr>
      <w:tr w:rsidR="00725DBB" w:rsidRPr="00D85C1B" w14:paraId="298D4D77" w14:textId="77777777" w:rsidTr="00412987">
        <w:trPr>
          <w:trHeight w:val="244"/>
        </w:trPr>
        <w:tc>
          <w:tcPr>
            <w:tcW w:w="1035" w:type="dxa"/>
          </w:tcPr>
          <w:p w14:paraId="0CD6A263" w14:textId="4D07DAAA"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R(0)</m:t>
                </m:r>
              </m:oMath>
            </m:oMathPara>
          </w:p>
        </w:tc>
        <w:tc>
          <w:tcPr>
            <w:tcW w:w="3395" w:type="dxa"/>
          </w:tcPr>
          <w:p w14:paraId="21206517" w14:textId="769769FA" w:rsidR="00725DBB" w:rsidRPr="00D85C1B" w:rsidRDefault="00725DBB" w:rsidP="00725DBB">
            <w:pPr>
              <w:rPr>
                <w:color w:val="000000" w:themeColor="text1"/>
                <w:sz w:val="20"/>
                <w:szCs w:val="20"/>
              </w:rPr>
            </w:pPr>
            <w:r w:rsidRPr="00D85C1B">
              <w:rPr>
                <w:color w:val="000000" w:themeColor="text1"/>
                <w:sz w:val="20"/>
                <w:szCs w:val="20"/>
              </w:rPr>
              <w:t>Initial proportion recovered</w:t>
            </w:r>
          </w:p>
        </w:tc>
        <w:tc>
          <w:tcPr>
            <w:tcW w:w="1434" w:type="dxa"/>
          </w:tcPr>
          <w:p w14:paraId="72D2F4E0" w14:textId="2A60C7F0"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22092731" w14:textId="2DB91F9D"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54315958" w14:textId="2CCD7882" w:rsidR="00725DBB" w:rsidRPr="00D85C1B" w:rsidRDefault="004A293F" w:rsidP="00725DBB">
            <w:pPr>
              <w:rPr>
                <w:color w:val="000000" w:themeColor="text1"/>
                <w:sz w:val="20"/>
                <w:szCs w:val="20"/>
              </w:rPr>
            </w:pPr>
            <w:r w:rsidRPr="00D85C1B">
              <w:rPr>
                <w:color w:val="000000" w:themeColor="text1"/>
                <w:sz w:val="20"/>
                <w:szCs w:val="20"/>
              </w:rPr>
              <w:t>0.96</w:t>
            </w:r>
            <w:r w:rsidR="00797D6F">
              <w:rPr>
                <w:color w:val="000000" w:themeColor="text1"/>
                <w:sz w:val="20"/>
                <w:szCs w:val="20"/>
              </w:rPr>
              <w:t>8</w:t>
            </w:r>
          </w:p>
        </w:tc>
        <w:tc>
          <w:tcPr>
            <w:tcW w:w="2932" w:type="dxa"/>
          </w:tcPr>
          <w:p w14:paraId="043D56F2" w14:textId="4BFFAB3B" w:rsidR="00725DBB" w:rsidRPr="00D85C1B" w:rsidRDefault="00797D6F" w:rsidP="00725DBB">
            <w:pPr>
              <w:rPr>
                <w:color w:val="000000" w:themeColor="text1"/>
                <w:sz w:val="20"/>
                <w:szCs w:val="20"/>
              </w:rPr>
            </w:pPr>
            <w:r>
              <w:rPr>
                <w:color w:val="000000" w:themeColor="text1"/>
                <w:sz w:val="20"/>
                <w:szCs w:val="20"/>
              </w:rPr>
              <w:t>0.967 – 0.968</w:t>
            </w:r>
          </w:p>
        </w:tc>
      </w:tr>
      <w:tr w:rsidR="00725DBB" w:rsidRPr="00D85C1B" w14:paraId="12F4A1A9" w14:textId="77777777" w:rsidTr="00412987">
        <w:trPr>
          <w:trHeight w:val="255"/>
        </w:trPr>
        <w:tc>
          <w:tcPr>
            <w:tcW w:w="1035" w:type="dxa"/>
          </w:tcPr>
          <w:p w14:paraId="2CE1AA3E" w14:textId="7BA1FE55"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μ</m:t>
                    </m:r>
                  </m:e>
                  <m:sub>
                    <m:r>
                      <w:rPr>
                        <w:rFonts w:ascii="Cambria Math" w:hAnsi="Cambria Math"/>
                        <w:color w:val="000000" w:themeColor="text1"/>
                        <w:sz w:val="20"/>
                        <w:szCs w:val="20"/>
                      </w:rPr>
                      <m:t>t</m:t>
                    </m:r>
                  </m:sub>
                </m:sSub>
              </m:oMath>
            </m:oMathPara>
          </w:p>
        </w:tc>
        <w:tc>
          <w:tcPr>
            <w:tcW w:w="3395" w:type="dxa"/>
          </w:tcPr>
          <w:p w14:paraId="684CE875" w14:textId="5E6EC30D" w:rsidR="00725DBB" w:rsidRPr="00D85C1B" w:rsidRDefault="00725DBB" w:rsidP="00725DBB">
            <w:pPr>
              <w:rPr>
                <w:color w:val="000000" w:themeColor="text1"/>
                <w:sz w:val="20"/>
                <w:szCs w:val="20"/>
              </w:rPr>
            </w:pPr>
            <w:r w:rsidRPr="00D85C1B">
              <w:rPr>
                <w:color w:val="000000" w:themeColor="text1"/>
                <w:sz w:val="20"/>
                <w:szCs w:val="20"/>
              </w:rPr>
              <w:t>Life expectancy</w:t>
            </w:r>
          </w:p>
        </w:tc>
        <w:tc>
          <w:tcPr>
            <w:tcW w:w="1434" w:type="dxa"/>
          </w:tcPr>
          <w:p w14:paraId="697ECBD5" w14:textId="2F4CE4DB" w:rsidR="00725DBB" w:rsidRPr="00D85C1B" w:rsidRDefault="004C7A17" w:rsidP="00725DBB">
            <w:pPr>
              <w:rPr>
                <w:color w:val="000000" w:themeColor="text1"/>
                <w:sz w:val="20"/>
                <w:szCs w:val="20"/>
              </w:rPr>
            </w:pPr>
            <w:r w:rsidRPr="00D85C1B">
              <w:rPr>
                <w:color w:val="000000" w:themeColor="text1"/>
                <w:sz w:val="20"/>
                <w:szCs w:val="20"/>
              </w:rPr>
              <w:t>Globally</w:t>
            </w:r>
          </w:p>
        </w:tc>
        <w:tc>
          <w:tcPr>
            <w:tcW w:w="1121" w:type="dxa"/>
          </w:tcPr>
          <w:p w14:paraId="405EA9D5" w14:textId="21EA1F22"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0AA62919" w14:textId="22EF8C1D" w:rsidR="00725DBB" w:rsidRPr="00D85C1B" w:rsidRDefault="004A293F" w:rsidP="00725DBB">
            <w:pPr>
              <w:rPr>
                <w:color w:val="000000" w:themeColor="text1"/>
                <w:sz w:val="20"/>
                <w:szCs w:val="20"/>
              </w:rPr>
            </w:pPr>
            <w:r w:rsidRPr="00D85C1B">
              <w:rPr>
                <w:color w:val="000000" w:themeColor="text1"/>
                <w:sz w:val="20"/>
                <w:szCs w:val="20"/>
              </w:rPr>
              <w:t>63 years</w:t>
            </w:r>
          </w:p>
        </w:tc>
        <w:tc>
          <w:tcPr>
            <w:tcW w:w="2932" w:type="dxa"/>
          </w:tcPr>
          <w:p w14:paraId="238359F5" w14:textId="5A518D7C" w:rsidR="00725DBB" w:rsidRPr="00D85C1B" w:rsidRDefault="004A293F" w:rsidP="00725DBB">
            <w:pPr>
              <w:rPr>
                <w:color w:val="000000" w:themeColor="text1"/>
                <w:sz w:val="20"/>
                <w:szCs w:val="20"/>
              </w:rPr>
            </w:pPr>
            <w:r w:rsidRPr="00D85C1B">
              <w:rPr>
                <w:color w:val="000000" w:themeColor="text1"/>
                <w:sz w:val="20"/>
                <w:szCs w:val="20"/>
              </w:rPr>
              <w:t xml:space="preserve">55 – 71 </w:t>
            </w:r>
          </w:p>
        </w:tc>
      </w:tr>
      <w:tr w:rsidR="00725DBB" w:rsidRPr="00D85C1B" w14:paraId="13789990" w14:textId="77777777" w:rsidTr="00412987">
        <w:trPr>
          <w:trHeight w:val="244"/>
        </w:trPr>
        <w:tc>
          <w:tcPr>
            <w:tcW w:w="1035" w:type="dxa"/>
          </w:tcPr>
          <w:p w14:paraId="49306BB1" w14:textId="4B60DB8D" w:rsidR="00725DBB" w:rsidRPr="00D85C1B" w:rsidRDefault="00A54F99"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V</m:t>
                    </m:r>
                  </m:e>
                  <m:sub>
                    <m:r>
                      <w:rPr>
                        <w:rFonts w:ascii="Cambria Math" w:hAnsi="Cambria Math"/>
                        <w:color w:val="000000" w:themeColor="text1"/>
                        <w:sz w:val="20"/>
                        <w:szCs w:val="20"/>
                      </w:rPr>
                      <m:t>e</m:t>
                    </m:r>
                  </m:sub>
                </m:sSub>
              </m:oMath>
            </m:oMathPara>
          </w:p>
        </w:tc>
        <w:tc>
          <w:tcPr>
            <w:tcW w:w="3395" w:type="dxa"/>
          </w:tcPr>
          <w:p w14:paraId="61A03B64" w14:textId="7C0D0CBC" w:rsidR="00725DBB" w:rsidRPr="00D85C1B" w:rsidRDefault="00725DBB" w:rsidP="00725DBB">
            <w:pPr>
              <w:rPr>
                <w:color w:val="000000" w:themeColor="text1"/>
                <w:sz w:val="20"/>
                <w:szCs w:val="20"/>
              </w:rPr>
            </w:pPr>
            <w:r w:rsidRPr="00D85C1B">
              <w:rPr>
                <w:color w:val="000000" w:themeColor="text1"/>
                <w:sz w:val="20"/>
                <w:szCs w:val="20"/>
              </w:rPr>
              <w:t xml:space="preserve">Vaccination </w:t>
            </w:r>
            <w:r w:rsidR="004A293F" w:rsidRPr="00D85C1B">
              <w:rPr>
                <w:color w:val="000000" w:themeColor="text1"/>
                <w:sz w:val="20"/>
                <w:szCs w:val="20"/>
              </w:rPr>
              <w:t>efficacy</w:t>
            </w:r>
          </w:p>
        </w:tc>
        <w:tc>
          <w:tcPr>
            <w:tcW w:w="1434" w:type="dxa"/>
          </w:tcPr>
          <w:p w14:paraId="5B136037" w14:textId="1A49F81F" w:rsidR="00725DBB" w:rsidRPr="00D85C1B" w:rsidRDefault="004A293F" w:rsidP="00725DBB">
            <w:pPr>
              <w:rPr>
                <w:color w:val="000000" w:themeColor="text1"/>
                <w:sz w:val="20"/>
                <w:szCs w:val="20"/>
              </w:rPr>
            </w:pPr>
            <w:r w:rsidRPr="00D85C1B">
              <w:rPr>
                <w:color w:val="000000" w:themeColor="text1"/>
                <w:sz w:val="20"/>
                <w:szCs w:val="20"/>
              </w:rPr>
              <w:t>N</w:t>
            </w:r>
          </w:p>
        </w:tc>
        <w:tc>
          <w:tcPr>
            <w:tcW w:w="1121" w:type="dxa"/>
          </w:tcPr>
          <w:p w14:paraId="115F059C" w14:textId="6270788B"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0566ED2B" w14:textId="3905E385" w:rsidR="00725DBB" w:rsidRPr="00D85C1B" w:rsidRDefault="004A293F" w:rsidP="00725DBB">
            <w:pPr>
              <w:rPr>
                <w:color w:val="000000" w:themeColor="text1"/>
                <w:sz w:val="20"/>
                <w:szCs w:val="20"/>
              </w:rPr>
            </w:pPr>
            <w:r w:rsidRPr="00D85C1B">
              <w:rPr>
                <w:color w:val="000000" w:themeColor="text1"/>
                <w:sz w:val="20"/>
                <w:szCs w:val="20"/>
              </w:rPr>
              <w:t>90%</w:t>
            </w:r>
          </w:p>
        </w:tc>
        <w:tc>
          <w:tcPr>
            <w:tcW w:w="2932" w:type="dxa"/>
          </w:tcPr>
          <w:p w14:paraId="58A546A3" w14:textId="2D6C26D9" w:rsidR="00725DBB" w:rsidRPr="00D85C1B" w:rsidRDefault="00412987" w:rsidP="00725DBB">
            <w:pPr>
              <w:rPr>
                <w:color w:val="000000" w:themeColor="text1"/>
                <w:sz w:val="20"/>
                <w:szCs w:val="20"/>
              </w:rPr>
            </w:pPr>
            <w:r w:rsidRPr="00D85C1B">
              <w:rPr>
                <w:color w:val="000000" w:themeColor="text1"/>
                <w:sz w:val="20"/>
                <w:szCs w:val="20"/>
              </w:rPr>
              <w:t>NA</w:t>
            </w:r>
          </w:p>
        </w:tc>
      </w:tr>
    </w:tbl>
    <w:p w14:paraId="2388EDC4" w14:textId="57164959" w:rsidR="00C810CE" w:rsidRPr="00D85C1B" w:rsidRDefault="00C810CE" w:rsidP="0083544A">
      <w:pPr>
        <w:rPr>
          <w:color w:val="000000" w:themeColor="text1"/>
          <w:sz w:val="24"/>
          <w:szCs w:val="24"/>
        </w:rPr>
      </w:pPr>
    </w:p>
    <w:p w14:paraId="0D08D0AC" w14:textId="154B8F14" w:rsidR="00C810CE" w:rsidRPr="00A54F99" w:rsidRDefault="00BE7CBC" w:rsidP="0083544A">
      <w:pPr>
        <w:rPr>
          <w:i/>
          <w:color w:val="000000" w:themeColor="text1"/>
          <w:sz w:val="24"/>
          <w:szCs w:val="24"/>
        </w:rPr>
      </w:pPr>
      <w:bookmarkStart w:id="6" w:name="_GoBack"/>
      <w:r w:rsidRPr="00A54F99">
        <w:rPr>
          <w:i/>
          <w:color w:val="000000" w:themeColor="text1"/>
          <w:sz w:val="24"/>
          <w:szCs w:val="24"/>
        </w:rPr>
        <w:t xml:space="preserve">Table S1: Parameters from the stochastic SEIR model. </w:t>
      </w:r>
      <w:r w:rsidR="00DA6754" w:rsidRPr="00A54F99">
        <w:rPr>
          <w:i/>
          <w:color w:val="000000" w:themeColor="text1"/>
          <w:sz w:val="24"/>
          <w:szCs w:val="24"/>
        </w:rPr>
        <w:t>For each parameter, we denote a short description, whether the parameter is time-varying or constant, if it is fixed or estimated, and the value with 95% confidence intervals when applicable.</w:t>
      </w:r>
    </w:p>
    <w:bookmarkEnd w:id="6"/>
    <w:p w14:paraId="32969672" w14:textId="77777777" w:rsidR="00BE7CBC" w:rsidRPr="00D85C1B" w:rsidRDefault="00BE7CBC" w:rsidP="0083544A">
      <w:pPr>
        <w:rPr>
          <w:color w:val="000000" w:themeColor="text1"/>
          <w:sz w:val="24"/>
          <w:szCs w:val="24"/>
        </w:rPr>
      </w:pPr>
    </w:p>
    <w:p w14:paraId="53DB1F70" w14:textId="688AF26C" w:rsidR="0083544A" w:rsidRPr="00D85C1B" w:rsidRDefault="0083544A" w:rsidP="0083544A">
      <w:pPr>
        <w:rPr>
          <w:i/>
          <w:color w:val="000000" w:themeColor="text1"/>
          <w:sz w:val="24"/>
          <w:szCs w:val="24"/>
        </w:rPr>
      </w:pPr>
      <w:r w:rsidRPr="00D85C1B">
        <w:rPr>
          <w:i/>
          <w:color w:val="000000" w:themeColor="text1"/>
          <w:sz w:val="24"/>
          <w:szCs w:val="24"/>
        </w:rPr>
        <w:t>Pandemic year reduction</w:t>
      </w:r>
    </w:p>
    <w:p w14:paraId="18520081" w14:textId="77777777" w:rsidR="0083544A" w:rsidRPr="00D85C1B" w:rsidRDefault="0083544A" w:rsidP="0083544A">
      <w:pPr>
        <w:rPr>
          <w:color w:val="000000" w:themeColor="text1"/>
          <w:sz w:val="24"/>
          <w:szCs w:val="24"/>
        </w:rPr>
      </w:pPr>
    </w:p>
    <w:p w14:paraId="1CEA0F29" w14:textId="77777777" w:rsidR="0083544A" w:rsidRPr="00D85C1B" w:rsidRDefault="0083544A" w:rsidP="0083544A">
      <w:pPr>
        <w:rPr>
          <w:color w:val="000000" w:themeColor="text1"/>
          <w:sz w:val="24"/>
          <w:szCs w:val="24"/>
        </w:rPr>
      </w:pPr>
      <w:r w:rsidRPr="00D85C1B">
        <w:rPr>
          <w:color w:val="000000" w:themeColor="text1"/>
          <w:sz w:val="24"/>
          <w:szCs w:val="24"/>
        </w:rPr>
        <w:lastRenderedPageBreak/>
        <w:t>The likelihood profile for the 1918 reduction in contact is shown below. A strong peak is identified at 40%, notably the likelihood argues against a zero reduction.</w:t>
      </w:r>
    </w:p>
    <w:p w14:paraId="5A545782" w14:textId="77777777" w:rsidR="0083544A" w:rsidRPr="00D85C1B" w:rsidRDefault="0083544A" w:rsidP="0083544A">
      <w:pPr>
        <w:keepNext/>
        <w:rPr>
          <w:color w:val="000000" w:themeColor="text1"/>
          <w:sz w:val="24"/>
          <w:szCs w:val="24"/>
        </w:rPr>
      </w:pPr>
      <w:r w:rsidRPr="00D85C1B">
        <w:rPr>
          <w:noProof/>
          <w:color w:val="000000" w:themeColor="text1"/>
        </w:rPr>
        <w:drawing>
          <wp:inline distT="0" distB="0" distL="0" distR="0" wp14:anchorId="5CBED4AC" wp14:editId="6B24BDE9">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pic:spPr>
                </pic:pic>
              </a:graphicData>
            </a:graphic>
          </wp:inline>
        </w:drawing>
      </w:r>
    </w:p>
    <w:p w14:paraId="3E147DD3" w14:textId="7B241AC1" w:rsidR="0083544A" w:rsidRPr="000E42DC" w:rsidRDefault="0083544A" w:rsidP="000E42DC">
      <w:pPr>
        <w:pStyle w:val="Caption"/>
        <w:rPr>
          <w:color w:val="000000" w:themeColor="text1"/>
          <w:sz w:val="24"/>
          <w:szCs w:val="24"/>
        </w:rPr>
      </w:pPr>
      <w:r w:rsidRPr="00D85C1B">
        <w:rPr>
          <w:iCs w:val="0"/>
          <w:color w:val="000000" w:themeColor="text1"/>
          <w:sz w:val="24"/>
          <w:szCs w:val="24"/>
        </w:rPr>
        <w:t xml:space="preserve">Figure S1: Profile log likelihood calculation of the reduction in contact due to the 1918 pandemic year. The maximum likelihood estimate is </w:t>
      </w:r>
      <w:r w:rsidR="00886EC4">
        <w:rPr>
          <w:iCs w:val="0"/>
          <w:color w:val="000000" w:themeColor="text1"/>
          <w:sz w:val="24"/>
          <w:szCs w:val="24"/>
        </w:rPr>
        <w:t>38</w:t>
      </w:r>
      <w:r w:rsidRPr="00D85C1B">
        <w:rPr>
          <w:iCs w:val="0"/>
          <w:color w:val="000000" w:themeColor="text1"/>
          <w:sz w:val="24"/>
          <w:szCs w:val="24"/>
        </w:rPr>
        <w:t>% reduction.</w:t>
      </w:r>
    </w:p>
    <w:p w14:paraId="7833CA8C" w14:textId="77777777" w:rsidR="0083544A" w:rsidRPr="00D85C1B" w:rsidRDefault="0083544A" w:rsidP="0083544A">
      <w:pPr>
        <w:rPr>
          <w:i/>
          <w:color w:val="000000" w:themeColor="text1"/>
          <w:sz w:val="24"/>
          <w:szCs w:val="24"/>
        </w:rPr>
      </w:pPr>
      <w:r w:rsidRPr="00D85C1B">
        <w:rPr>
          <w:i/>
          <w:color w:val="000000" w:themeColor="text1"/>
          <w:sz w:val="24"/>
          <w:szCs w:val="24"/>
        </w:rPr>
        <w:t xml:space="preserve">Lyapunov Exponent Analysis </w:t>
      </w:r>
    </w:p>
    <w:p w14:paraId="75EE67EC" w14:textId="77777777" w:rsidR="0083544A" w:rsidRPr="00D85C1B" w:rsidRDefault="0083544A" w:rsidP="0083544A">
      <w:pPr>
        <w:rPr>
          <w:i/>
          <w:color w:val="000000" w:themeColor="text1"/>
          <w:sz w:val="24"/>
          <w:szCs w:val="24"/>
        </w:rPr>
      </w:pPr>
    </w:p>
    <w:p w14:paraId="5615CDBB" w14:textId="45A69143" w:rsidR="0083544A" w:rsidRPr="00D85C1B" w:rsidRDefault="0083544A" w:rsidP="0083544A">
      <w:pPr>
        <w:rPr>
          <w:color w:val="000000" w:themeColor="text1"/>
        </w:rPr>
      </w:pPr>
      <w:r w:rsidRPr="00D85C1B">
        <w:rPr>
          <w:color w:val="000000" w:themeColor="text1"/>
          <w:sz w:val="24"/>
          <w:szCs w:val="24"/>
        </w:rPr>
        <w:t xml:space="preserve">The observed LLEs match the predicted exponents well, however there is tendency to overestimate negative values during 1950-1965. The fitted model may be biased towards negative values due to the seasonality being inferred from the entire time series, as opposed to the just the region of interest such as </w:t>
      </w:r>
      <w:r w:rsidRPr="00D85C1B">
        <w:rPr>
          <w:color w:val="000000" w:themeColor="text1"/>
        </w:rPr>
        <w:fldChar w:fldCharType="begin" w:fldLock="1"/>
      </w:r>
      <w:r w:rsidR="00DF0047">
        <w:rPr>
          <w:color w:val="000000" w:themeColor="text1"/>
        </w:rPr>
        <w:instrText>ADDIN CSL_CITATION {"citationItems":[{"id":"ITEM-1","itemData":{"DOI":"10.1890/0012-9615(2002)072[0185:DOMESN]2.0.CO;2","ISSN":"0012-9615","abstract":"Two key linked questions in population dynamics are the relative importance of noise vs. density-dependent nonlinearities and the limits on temporal predictability of population abundance. We propose that childhood microparasitic infections, notably measles, provide an unusually suitable empirical and theoretical test bed for addressing these issues. We base our analysis on a new mechanistic time series model for measles, the TSIR model, which captures the mechanistic essence of epidemic dynamics. The model, and parameter estimates based on short-term fits to prevaccination measles time series for 60 towns and cities in England and Wales, is introduced in a companion paper. Here, we explore how well the model predicts the long-term dynamics of measles and the balance between noise and determinism, as a function of population size. The TSIR model captures the basic dynamical features of the long-term pattern of measles epidemics in large cities remarkably well (based on time and frequency domain analyses). In particular, the model illustrates the impact of secular increases in birth rates, which cause a transition from biennial to annual dynamics. The model also captures the observed increase in epidemic irregularity with decreasing population size and the onset of local extinction below a critical community size. Decreased host population size is shown to be associated with an increased impact of demographic stochasticity. The interaction between nonlinearity and noise is explored using local Lyapunov exponents (LLE). These testify to the high level of stability of the biennial attractor in large cities. Irregularities are due to the limit cycle evolving with changing human birth rates and not due to complex dynamics. The geometry of the dynamics (sign and magnitude of the LLEs across phase space) is similar in the cities and the smaller urban areas. The qualitative difference in dynamics between small and large host communities is that demographic and extinction--recolonization stochasticities are much more influential in the former. The regional dynamics can therefore only be understood in terms of a core--satellite metapopulation structure for this host--enemy system. We also make a preliminary exploration of the model's ability to predict the dynamic consequences of measles vaccination.","author":[{"dropping-particle":"","family":"Grenfell","given":"Bryan T","non-dropping-particle":"","parse-names":false,"suffix":""},{"dropping-particle":"","family":"Bjørnstad","given":"Ottar N","non-dropping-particle":"","parse-names":false,"suffix":""},{"dropping-particle":"","family":"Finkenstädt","given":"Bärbel F","non-dropping-particle":"","parse-names":false,"suffix":""}],"container-title":"Ecological Monographs","id":"ITEM-1","issue":"2","issued":{"date-parts":[["2002","5"]]},"page":"185-202","title":"Dynamics of measles epidemics: scaling noise, determinism, and predictability with the tsir model","title-short":"Dynamics of measles epidemics","type":"article-journal","volume":"72"},"uris":["http://www.mendeley.com/documents/?uuid=2f5d5615-9704-4569-a462-f518d1aaafcb"]}],"mendeley":{"formattedCitation":"(&lt;i&gt;8&lt;/i&gt;)","plainTextFormattedCitation":"(8)","previouslyFormattedCitation":"(&lt;i&gt;8&lt;/i&gt;)"},"properties":{"noteIndex":0},"schema":"https://github.com/citation-style-language/schema/raw/master/csl-citation.json"}</w:instrText>
      </w:r>
      <w:r w:rsidRPr="00D85C1B">
        <w:rPr>
          <w:color w:val="000000" w:themeColor="text1"/>
        </w:rPr>
        <w:fldChar w:fldCharType="separate"/>
      </w:r>
      <w:bookmarkStart w:id="7" w:name="__Fieldmark__2626_462406275"/>
      <w:r w:rsidR="002902ED" w:rsidRPr="002902ED">
        <w:rPr>
          <w:noProof/>
          <w:color w:val="000000" w:themeColor="text1"/>
          <w:sz w:val="24"/>
          <w:szCs w:val="24"/>
        </w:rPr>
        <w:t>(</w:t>
      </w:r>
      <w:r w:rsidR="002902ED" w:rsidRPr="002902ED">
        <w:rPr>
          <w:i/>
          <w:noProof/>
          <w:color w:val="000000" w:themeColor="text1"/>
          <w:sz w:val="24"/>
          <w:szCs w:val="24"/>
        </w:rPr>
        <w:t>8</w:t>
      </w:r>
      <w:r w:rsidR="002902ED" w:rsidRPr="002902ED">
        <w:rPr>
          <w:noProof/>
          <w:color w:val="000000" w:themeColor="text1"/>
          <w:sz w:val="24"/>
          <w:szCs w:val="24"/>
        </w:rPr>
        <w:t>)</w:t>
      </w:r>
      <w:r w:rsidRPr="00D85C1B">
        <w:rPr>
          <w:color w:val="000000" w:themeColor="text1"/>
        </w:rPr>
        <w:fldChar w:fldCharType="end"/>
      </w:r>
      <w:bookmarkEnd w:id="7"/>
      <w:r w:rsidRPr="00D85C1B">
        <w:rPr>
          <w:color w:val="000000" w:themeColor="text1"/>
          <w:sz w:val="24"/>
          <w:szCs w:val="24"/>
        </w:rPr>
        <w:t xml:space="preserve">. The trajectories of the observed dynamics display more dispersion than the predicted, but that is to be expected when comparing true birth rates versus the simple average. </w:t>
      </w:r>
    </w:p>
    <w:p w14:paraId="1D8268A9" w14:textId="77777777" w:rsidR="0083544A" w:rsidRPr="00D85C1B" w:rsidRDefault="0083544A" w:rsidP="0083544A">
      <w:pPr>
        <w:rPr>
          <w:color w:val="000000" w:themeColor="text1"/>
          <w:sz w:val="24"/>
          <w:szCs w:val="24"/>
        </w:rPr>
      </w:pPr>
    </w:p>
    <w:p w14:paraId="2EF5DA30" w14:textId="77777777" w:rsidR="0083544A" w:rsidRPr="00D85C1B" w:rsidRDefault="0083544A" w:rsidP="0083544A">
      <w:pPr>
        <w:keepNext/>
        <w:rPr>
          <w:color w:val="000000" w:themeColor="text1"/>
          <w:sz w:val="24"/>
          <w:szCs w:val="24"/>
        </w:rPr>
      </w:pPr>
      <w:r w:rsidRPr="00D85C1B">
        <w:rPr>
          <w:i/>
          <w:color w:val="000000" w:themeColor="text1"/>
          <w:sz w:val="24"/>
          <w:szCs w:val="24"/>
        </w:rPr>
        <w:t>Case fatality ratio</w:t>
      </w:r>
    </w:p>
    <w:p w14:paraId="28C01F28" w14:textId="77777777" w:rsidR="0083544A" w:rsidRPr="00D85C1B" w:rsidRDefault="0083544A" w:rsidP="0083544A">
      <w:pPr>
        <w:keepNext/>
        <w:rPr>
          <w:color w:val="000000" w:themeColor="text1"/>
          <w:sz w:val="24"/>
          <w:szCs w:val="24"/>
        </w:rPr>
      </w:pPr>
    </w:p>
    <w:p w14:paraId="6D781274" w14:textId="33C5056D" w:rsidR="0083544A" w:rsidRPr="00D85C1B" w:rsidRDefault="0083544A" w:rsidP="0083544A">
      <w:pPr>
        <w:rPr>
          <w:color w:val="000000" w:themeColor="text1"/>
        </w:rPr>
      </w:pPr>
      <w:r w:rsidRPr="00D85C1B">
        <w:rPr>
          <w:color w:val="000000" w:themeColor="text1"/>
          <w:sz w:val="24"/>
          <w:szCs w:val="24"/>
        </w:rPr>
        <w:t xml:space="preserve">The case fatality ratio was estimated using a Gaussian Process regression between cumulative deaths and cumulative births using the </w:t>
      </w:r>
      <w:proofErr w:type="spellStart"/>
      <w:r w:rsidRPr="00D85C1B">
        <w:rPr>
          <w:color w:val="000000" w:themeColor="text1"/>
          <w:sz w:val="24"/>
          <w:szCs w:val="24"/>
        </w:rPr>
        <w:t>tsiR</w:t>
      </w:r>
      <w:proofErr w:type="spellEnd"/>
      <w:r w:rsidRPr="00D85C1B">
        <w:rPr>
          <w:color w:val="000000" w:themeColor="text1"/>
          <w:sz w:val="24"/>
          <w:szCs w:val="24"/>
        </w:rPr>
        <w:t xml:space="preserve"> package </w:t>
      </w:r>
      <w:r w:rsidRPr="00D85C1B">
        <w:rPr>
          <w:color w:val="000000" w:themeColor="text1"/>
        </w:rPr>
        <w:fldChar w:fldCharType="begin" w:fldLock="1"/>
      </w:r>
      <w:r w:rsidR="00DF0047">
        <w:rPr>
          <w:color w:val="000000" w:themeColor="text1"/>
        </w:rPr>
        <w:instrText>ADDIN CSL_CITATION {"citationItems":[{"id":"ITEM-1","itemData":{"DOI":"10.1371/journal.pone.0185528","ISSN":"1932-6203","author":[{"dropping-particle":"","family":"Becker","given":"Alexander D.","non-dropping-particle":"","parse-names":false,"suffix":""},{"dropping-particle":"","family":"Grenfell","given":"Bryan T.","non-dropping-particle":"","parse-names":false,"suffix":""}],"container-title":"PLOS ONE","editor":[{"dropping-particle":"","family":"Nishiura","given":"Hiroshi","non-dropping-particle":"","parse-names":false,"suffix":""}],"id":"ITEM-1","issue":"9","issued":{"date-parts":[["2017","9","28"]]},"page":"e0185528","publisher":"Public Library of Science","title":"tsiR: An R package for time-series Susceptible-Infected-Recovered models of epidemics","type":"article-journal","volume":"12"},"uris":["http://www.mendeley.com/documents/?uuid=535c59ac-a041-384e-87c0-5904d73c81a7"]}],"mendeley":{"formattedCitation":"(&lt;i&gt;9&lt;/i&gt;)","plainTextFormattedCitation":"(9)","previouslyFormattedCitation":"(&lt;i&gt;9&lt;/i&gt;)"},"properties":{"noteIndex":0},"schema":"https://github.com/citation-style-language/schema/raw/master/csl-citation.json"}</w:instrText>
      </w:r>
      <w:r w:rsidRPr="00D85C1B">
        <w:rPr>
          <w:color w:val="000000" w:themeColor="text1"/>
        </w:rPr>
        <w:fldChar w:fldCharType="separate"/>
      </w:r>
      <w:bookmarkStart w:id="8" w:name="__Fieldmark__2640_462406275"/>
      <w:r w:rsidR="002902ED" w:rsidRPr="002902ED">
        <w:rPr>
          <w:noProof/>
          <w:color w:val="000000" w:themeColor="text1"/>
          <w:sz w:val="24"/>
          <w:szCs w:val="24"/>
        </w:rPr>
        <w:t>(</w:t>
      </w:r>
      <w:r w:rsidR="002902ED" w:rsidRPr="002902ED">
        <w:rPr>
          <w:i/>
          <w:noProof/>
          <w:color w:val="000000" w:themeColor="text1"/>
          <w:sz w:val="24"/>
          <w:szCs w:val="24"/>
        </w:rPr>
        <w:t>9</w:t>
      </w:r>
      <w:r w:rsidR="002902ED" w:rsidRPr="002902ED">
        <w:rPr>
          <w:noProof/>
          <w:color w:val="000000" w:themeColor="text1"/>
          <w:sz w:val="24"/>
          <w:szCs w:val="24"/>
        </w:rPr>
        <w:t>)</w:t>
      </w:r>
      <w:r w:rsidRPr="00D85C1B">
        <w:rPr>
          <w:color w:val="000000" w:themeColor="text1"/>
        </w:rPr>
        <w:fldChar w:fldCharType="end"/>
      </w:r>
      <w:bookmarkEnd w:id="8"/>
      <w:r w:rsidRPr="00D85C1B">
        <w:rPr>
          <w:color w:val="000000" w:themeColor="text1"/>
          <w:sz w:val="24"/>
          <w:szCs w:val="24"/>
        </w:rPr>
        <w:t xml:space="preserve"> and is shown in Figure S2. Although using mortality data can provide insight into the underlying infectious disease dynamics </w:t>
      </w:r>
      <w:r w:rsidRPr="00D85C1B">
        <w:rPr>
          <w:color w:val="000000" w:themeColor="text1"/>
        </w:rPr>
        <w:fldChar w:fldCharType="begin" w:fldLock="1"/>
      </w:r>
      <w:r w:rsidR="00DF0047">
        <w:rPr>
          <w:color w:val="000000" w:themeColor="text1"/>
        </w:rPr>
        <w:instrText>ADDIN CSL_CITATION {"citationItems":[{"id":"ITEM-1","itemData":{"DOI":"10.1098/rsif.2009.0317","ISSN":"1742-5662","PMID":"19828508","abstract":"Seasonal changes in the environment are known to be important drivers of population dynamics, giving rise to sustained population cycles. However, it is often difficult to measure the strength and shape of seasonal forces affecting populations. In recent years, statistical time-series methods have been applied to the incidence records of childhood infectious diseases in an attempt to estimate seasonal variation in transmission rates, as driven by the pattern of school terms. In turn, school-term forcing was used to show how susceptible influx rates affect the interepidemic period. In this paper, we document the response of measles dynamics to distinct shifts in the parameter regime using previously unexplored records of measles mortality from the early decades of the twentieth century. We describe temporal patterns of measles epidemics using spectral analysis techniques, and point out a marked decrease in birth rates over time. Changes in host demography alone do not, however, suffice to explain epidemiological transitions. By fitting the time-series susceptible-infected-recovered model to measles mortality data, we obtain estimates of seasonal transmission in different eras, and find that seasonality increased over time. This analysis supports theoretical work linking complex population dynamics and the balance between stochastic and deterministic forces as determined by the strength of seasonality.","author":[{"dropping-particle":"","family":"Mantilla-Beniers","given":"N B","non-dropping-particle":"","parse-names":false,"suffix":""},{"dropping-particle":"","family":"Bjørnstad","given":"O N","non-dropping-particle":"","parse-names":false,"suffix":""},{"dropping-particle":"","family":"Grenfell","given":"B T","non-dropping-particle":"","parse-names":false,"suffix":""},{"dropping-particle":"","family":"Rohani","given":"P","non-dropping-particle":"","parse-names":false,"suffix":""}],"container-title":"Journal of the Royal Society, Interface","id":"ITEM-1","issue":"46","issued":{"date-parts":[["2010","5","6"]]},"page":"727-39","publisher":"The Royal Society","title":"Decreasing stochasticity through enhanced seasonality in measles epidemics.","type":"article-journal","volume":"7"},"uris":["http://www.mendeley.com/documents/?uuid=52d49383-438a-35fb-8d5d-f9d98fa59d47"]},{"id":"ITEM-2","itemData":{"DOI":"10.1038/nature07084","ISSN":"0028-0836","abstract":"In many infectious diseases, an unknown fraction of infections produce symptoms mild enough to go unrecorded, a fact that can seriously compromise the interpretation of epidemiological records. This is true for cholera, a pandemic bacterial disease, where estimates of the ratio of asymptomatic to symptomatic infections have ranged from 3 to 100 (refs 1--5). In the absence of direct evidence, understanding of fundamental aspects of cholera transmission, immunology and control has been based on assumptions about this ratio and about the immunological consequences of inapparent infections. Here we show that a model incorporating high asymptomatic ratio and rapidly waning immunity, with infection both from human and environmental sources, explains 50 yr of mortality data from 26 districts of Bengal, the pathogen's endemic home. We find that the asymptomatic ratio in cholera is far higher than had been previously supposed and that the immunity derived from mild infections wanes much more rapidly than earlier analyses have indicated. We find, too, that the environmental reservoir (free-living pathogen) is directly responsible for relatively few infections but that it may be critical to the disease's endemicity. Our results demonstrate that inapparent infections can hold the key to interpreting the patterns of disease outbreaks. New statistical methods, which allow rigorous maximum likelihood inference based on dynamical models incorporating multiple sources and outcomes of infection, seasonality, process noise, hidden variables and measurement error, make it possible to test more precise hypotheses and obtain unexpected results. Our experience suggests that the confrontation of time-series data with mechanistic models is likely to revise our understanding of the ecology of many infectious diseases.","author":[{"dropping-particle":"","family":"King","given":"Aaron A","non-dropping-particle":"","parse-names":false,"suffix":""},{"dropping-particle":"","family":"Ionides","given":"Edward L","non-dropping-particle":"","parse-names":false,"suffix":""},{"dropping-particle":"","family":"Pascual","given":"Mercedes","non-dropping-particle":"","parse-names":false,"suffix":""},{"dropping-particle":"","family":"Bouma","given":"Menno J","non-dropping-particle":"","parse-names":false,"suffix":""}],"container-title":"Nature","id":"ITEM-2","issue":"7206","issued":{"date-parts":[["2008","8"]]},"page":"877-880","title":"Inapparent infections and cholera dynamics","type":"article-journal","volume":"454"},"uris":["http://www.mendeley.com/documents/?uuid=258b7cd5-35ac-4579-b89b-3a54efa46d58"]}],"mendeley":{"formattedCitation":"(&lt;i&gt;10&lt;/i&gt;, &lt;i&gt;11&lt;/i&gt;)","plainTextFormattedCitation":"(10, 11)","previouslyFormattedCitation":"(&lt;i&gt;10&lt;/i&gt;, &lt;i&gt;11&lt;/i&gt;)"},"properties":{"noteIndex":0},"schema":"https://github.com/citation-style-language/schema/raw/master/csl-citation.json"}</w:instrText>
      </w:r>
      <w:r w:rsidRPr="00D85C1B">
        <w:rPr>
          <w:color w:val="000000" w:themeColor="text1"/>
        </w:rPr>
        <w:fldChar w:fldCharType="separate"/>
      </w:r>
      <w:bookmarkStart w:id="9" w:name="__Fieldmark__2652_462406275"/>
      <w:r w:rsidR="002902ED" w:rsidRPr="002902ED">
        <w:rPr>
          <w:noProof/>
          <w:color w:val="000000" w:themeColor="text1"/>
          <w:sz w:val="24"/>
          <w:szCs w:val="24"/>
        </w:rPr>
        <w:t>(</w:t>
      </w:r>
      <w:r w:rsidR="002902ED" w:rsidRPr="002902ED">
        <w:rPr>
          <w:i/>
          <w:noProof/>
          <w:color w:val="000000" w:themeColor="text1"/>
          <w:sz w:val="24"/>
          <w:szCs w:val="24"/>
        </w:rPr>
        <w:t>10</w:t>
      </w:r>
      <w:r w:rsidR="002902ED" w:rsidRPr="002902ED">
        <w:rPr>
          <w:noProof/>
          <w:color w:val="000000" w:themeColor="text1"/>
          <w:sz w:val="24"/>
          <w:szCs w:val="24"/>
        </w:rPr>
        <w:t xml:space="preserve">, </w:t>
      </w:r>
      <w:r w:rsidR="002902ED" w:rsidRPr="002902ED">
        <w:rPr>
          <w:i/>
          <w:noProof/>
          <w:color w:val="000000" w:themeColor="text1"/>
          <w:sz w:val="24"/>
          <w:szCs w:val="24"/>
        </w:rPr>
        <w:t>11</w:t>
      </w:r>
      <w:r w:rsidR="002902ED" w:rsidRPr="002902ED">
        <w:rPr>
          <w:noProof/>
          <w:color w:val="000000" w:themeColor="text1"/>
          <w:sz w:val="24"/>
          <w:szCs w:val="24"/>
        </w:rPr>
        <w:t>)</w:t>
      </w:r>
      <w:r w:rsidRPr="00D85C1B">
        <w:rPr>
          <w:color w:val="000000" w:themeColor="text1"/>
        </w:rPr>
        <w:fldChar w:fldCharType="end"/>
      </w:r>
      <w:bookmarkEnd w:id="9"/>
      <w:r w:rsidRPr="00D85C1B">
        <w:rPr>
          <w:color w:val="000000" w:themeColor="text1"/>
          <w:sz w:val="24"/>
          <w:szCs w:val="24"/>
        </w:rPr>
        <w:t xml:space="preserve">, transitioning between death and case data presents the undesirable problem of having to estimate </w:t>
      </w:r>
      <w:r w:rsidRPr="00D85C1B">
        <w:rPr>
          <w:color w:val="000000" w:themeColor="text1"/>
          <w:sz w:val="24"/>
          <w:szCs w:val="24"/>
        </w:rPr>
        <w:lastRenderedPageBreak/>
        <w:t xml:space="preserve">a time-varying CFR. While the assumption of using births and deaths to infer CFR yielded a realistic fit, it must be done </w:t>
      </w:r>
      <w:r w:rsidRPr="00D85C1B">
        <w:rPr>
          <w:i/>
          <w:color w:val="000000" w:themeColor="text1"/>
          <w:sz w:val="24"/>
          <w:szCs w:val="24"/>
        </w:rPr>
        <w:t xml:space="preserve">a </w:t>
      </w:r>
      <w:proofErr w:type="spellStart"/>
      <w:r w:rsidRPr="00D85C1B">
        <w:rPr>
          <w:i/>
          <w:color w:val="000000" w:themeColor="text1"/>
          <w:sz w:val="24"/>
          <w:szCs w:val="24"/>
        </w:rPr>
        <w:t>proiri</w:t>
      </w:r>
      <w:proofErr w:type="spellEnd"/>
      <w:r w:rsidRPr="00D85C1B">
        <w:rPr>
          <w:color w:val="000000" w:themeColor="text1"/>
          <w:sz w:val="24"/>
          <w:szCs w:val="24"/>
        </w:rPr>
        <w:t xml:space="preserve"> to the rest of the model fitting. </w:t>
      </w:r>
    </w:p>
    <w:p w14:paraId="3268CC93" w14:textId="77777777" w:rsidR="0083544A" w:rsidRPr="00D85C1B" w:rsidRDefault="0083544A" w:rsidP="0083544A">
      <w:pPr>
        <w:keepNext/>
        <w:rPr>
          <w:color w:val="000000" w:themeColor="text1"/>
          <w:sz w:val="24"/>
          <w:szCs w:val="24"/>
        </w:rPr>
      </w:pPr>
      <w:r w:rsidRPr="00D85C1B">
        <w:rPr>
          <w:color w:val="000000" w:themeColor="text1"/>
          <w:sz w:val="24"/>
          <w:szCs w:val="24"/>
        </w:rPr>
        <w:t xml:space="preserve"> </w:t>
      </w:r>
    </w:p>
    <w:p w14:paraId="797CF48C" w14:textId="77777777" w:rsidR="0083544A" w:rsidRPr="00D85C1B" w:rsidRDefault="0083544A" w:rsidP="0083544A">
      <w:pPr>
        <w:keepNext/>
        <w:rPr>
          <w:color w:val="000000" w:themeColor="text1"/>
          <w:sz w:val="24"/>
          <w:szCs w:val="24"/>
        </w:rPr>
      </w:pPr>
      <w:r w:rsidRPr="00D85C1B">
        <w:rPr>
          <w:noProof/>
          <w:color w:val="000000" w:themeColor="text1"/>
        </w:rPr>
        <w:drawing>
          <wp:inline distT="0" distB="0" distL="0" distR="0" wp14:anchorId="16957AAB" wp14:editId="1B9C321E">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pic:spPr>
                </pic:pic>
              </a:graphicData>
            </a:graphic>
          </wp:inline>
        </w:drawing>
      </w:r>
    </w:p>
    <w:p w14:paraId="49BE9432" w14:textId="77777777" w:rsidR="0083544A" w:rsidRPr="00D85C1B" w:rsidRDefault="0083544A" w:rsidP="0083544A">
      <w:pPr>
        <w:pStyle w:val="Caption"/>
      </w:pPr>
      <w:r w:rsidRPr="00D85C1B">
        <w:rPr>
          <w:color w:val="000000" w:themeColor="text1"/>
          <w:sz w:val="24"/>
          <w:szCs w:val="24"/>
        </w:rPr>
        <w:t>Figure S2: Inferred case fatality ratio for measles between 1897-1940.</w:t>
      </w:r>
    </w:p>
    <w:p w14:paraId="2F482D63" w14:textId="77777777" w:rsidR="0083544A" w:rsidRPr="00D85C1B" w:rsidRDefault="0083544A" w:rsidP="0083544A">
      <w:pPr>
        <w:rPr>
          <w:color w:val="000000" w:themeColor="text1"/>
          <w:sz w:val="24"/>
          <w:szCs w:val="24"/>
        </w:rPr>
      </w:pPr>
      <w:r w:rsidRPr="00D85C1B">
        <w:rPr>
          <w:i/>
          <w:color w:val="000000" w:themeColor="text1"/>
          <w:sz w:val="24"/>
          <w:szCs w:val="24"/>
        </w:rPr>
        <w:t>Local inference</w:t>
      </w:r>
    </w:p>
    <w:p w14:paraId="7F020607" w14:textId="77777777" w:rsidR="0083544A" w:rsidRPr="00D85C1B" w:rsidRDefault="0083544A" w:rsidP="0083544A">
      <w:pPr>
        <w:rPr>
          <w:color w:val="000000" w:themeColor="text1"/>
          <w:sz w:val="24"/>
          <w:szCs w:val="24"/>
        </w:rPr>
      </w:pPr>
    </w:p>
    <w:p w14:paraId="0BAE3D4C" w14:textId="77777777" w:rsidR="0083544A" w:rsidRPr="00D85C1B" w:rsidRDefault="0083544A" w:rsidP="0083544A">
      <w:pPr>
        <w:rPr>
          <w:color w:val="000000" w:themeColor="text1"/>
          <w:sz w:val="24"/>
          <w:szCs w:val="24"/>
        </w:rPr>
      </w:pPr>
      <w:r w:rsidRPr="00D85C1B">
        <w:rPr>
          <w:color w:val="000000" w:themeColor="text1"/>
          <w:sz w:val="24"/>
          <w:szCs w:val="24"/>
        </w:rPr>
        <w:t>In order to test whether the WWII time-period had an appreciable change in seasonality (i.e. one that could not be detected in the 1897-1991 analysis), we fit the SEIR model to local six-year sections of data. Initial conditions across each time period were very similar, with the main difference being the range of seasonality values once normalized. We found that the 1940-1946 region had the smallest range, and was the flattest seasonality.</w:t>
      </w:r>
    </w:p>
    <w:p w14:paraId="36723EBD" w14:textId="77777777" w:rsidR="0083544A" w:rsidRPr="00D85C1B" w:rsidRDefault="0083544A" w:rsidP="0083544A">
      <w:pPr>
        <w:keepNext/>
        <w:rPr>
          <w:color w:val="000000" w:themeColor="text1"/>
          <w:sz w:val="24"/>
          <w:szCs w:val="24"/>
        </w:rPr>
      </w:pPr>
      <w:r w:rsidRPr="00D85C1B">
        <w:rPr>
          <w:noProof/>
          <w:color w:val="000000" w:themeColor="text1"/>
        </w:rPr>
        <w:lastRenderedPageBreak/>
        <w:drawing>
          <wp:inline distT="0" distB="0" distL="0" distR="0" wp14:anchorId="474913CD" wp14:editId="59898719">
            <wp:extent cx="5943600" cy="445770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7"/>
                    <a:stretch>
                      <a:fillRect/>
                    </a:stretch>
                  </pic:blipFill>
                  <pic:spPr bwMode="auto">
                    <a:xfrm>
                      <a:off x="0" y="0"/>
                      <a:ext cx="5943600" cy="4457700"/>
                    </a:xfrm>
                    <a:prstGeom prst="rect">
                      <a:avLst/>
                    </a:prstGeom>
                  </pic:spPr>
                </pic:pic>
              </a:graphicData>
            </a:graphic>
          </wp:inline>
        </w:drawing>
      </w:r>
    </w:p>
    <w:p w14:paraId="57DD9FFE" w14:textId="77777777" w:rsidR="0083544A" w:rsidRPr="00D85C1B" w:rsidRDefault="0083544A" w:rsidP="0083544A">
      <w:pPr>
        <w:pStyle w:val="Caption"/>
      </w:pPr>
      <w:r w:rsidRPr="00D85C1B">
        <w:rPr>
          <w:iCs w:val="0"/>
          <w:color w:val="000000" w:themeColor="text1"/>
          <w:sz w:val="24"/>
          <w:szCs w:val="24"/>
        </w:rPr>
        <w:t>Figure S3: The inferred local normalized seasonality ranges for six-year windows throughout the time series. The red point shows the inferred WW</w:t>
      </w:r>
      <w:r w:rsidRPr="00D85C1B">
        <w:rPr>
          <w:color w:val="000000" w:themeColor="text1"/>
          <w:sz w:val="24"/>
          <w:szCs w:val="24"/>
        </w:rPr>
        <w:t>II range, whereas the black star points to the overall inferred range. The box plot then shows the ranges across the other local eras. The WWII pattern has the smallest range across all the local inferences, indicating a lower presence of school-term forcing during the evacuation.</w:t>
      </w:r>
    </w:p>
    <w:p w14:paraId="6C4FAA1D" w14:textId="77777777" w:rsidR="0083544A" w:rsidRPr="00D85C1B" w:rsidRDefault="0083544A" w:rsidP="0083544A">
      <w:pPr>
        <w:rPr>
          <w:i/>
          <w:color w:val="000000" w:themeColor="text1"/>
          <w:sz w:val="24"/>
          <w:szCs w:val="24"/>
        </w:rPr>
      </w:pPr>
      <w:r w:rsidRPr="00D85C1B">
        <w:rPr>
          <w:i/>
          <w:color w:val="000000" w:themeColor="text1"/>
          <w:sz w:val="24"/>
          <w:szCs w:val="24"/>
        </w:rPr>
        <w:t>Wavelets</w:t>
      </w:r>
    </w:p>
    <w:p w14:paraId="473E0861" w14:textId="77777777" w:rsidR="0083544A" w:rsidRPr="00D85C1B" w:rsidRDefault="0083544A" w:rsidP="0083544A">
      <w:pPr>
        <w:rPr>
          <w:color w:val="000000" w:themeColor="text1"/>
          <w:sz w:val="24"/>
          <w:szCs w:val="24"/>
        </w:rPr>
      </w:pPr>
    </w:p>
    <w:p w14:paraId="016B6A1A" w14:textId="7A2CCC2F" w:rsidR="00A45F5B" w:rsidRPr="00D85C1B" w:rsidRDefault="0083544A" w:rsidP="0083544A">
      <w:pPr>
        <w:rPr>
          <w:color w:val="000000" w:themeColor="text1"/>
          <w:sz w:val="24"/>
          <w:szCs w:val="24"/>
        </w:rPr>
      </w:pPr>
      <w:r w:rsidRPr="00D85C1B">
        <w:rPr>
          <w:color w:val="000000" w:themeColor="text1"/>
          <w:sz w:val="24"/>
          <w:szCs w:val="24"/>
        </w:rPr>
        <w:t>In order to examine the local periodicity of the death and case measles data, a wavelet analysis was performed and shown below. The red regions outlined in black indicate significant periodicities.</w:t>
      </w:r>
      <w:r w:rsidR="00DF0047">
        <w:rPr>
          <w:color w:val="000000" w:themeColor="text1"/>
          <w:sz w:val="24"/>
          <w:szCs w:val="24"/>
        </w:rPr>
        <w:t xml:space="preserve"> We used the </w:t>
      </w:r>
      <w:proofErr w:type="spellStart"/>
      <w:r w:rsidR="00DF0047">
        <w:rPr>
          <w:color w:val="000000" w:themeColor="text1"/>
          <w:sz w:val="24"/>
          <w:szCs w:val="24"/>
        </w:rPr>
        <w:t>Rwave</w:t>
      </w:r>
      <w:proofErr w:type="spellEnd"/>
      <w:r w:rsidR="00DF0047">
        <w:rPr>
          <w:color w:val="000000" w:themeColor="text1"/>
          <w:sz w:val="24"/>
          <w:szCs w:val="24"/>
        </w:rPr>
        <w:t xml:space="preserve"> </w:t>
      </w:r>
      <w:r w:rsidR="00DF0047">
        <w:rPr>
          <w:color w:val="000000" w:themeColor="text1"/>
          <w:sz w:val="24"/>
          <w:szCs w:val="24"/>
        </w:rPr>
        <w:fldChar w:fldCharType="begin" w:fldLock="1"/>
      </w:r>
      <w:r w:rsidR="00DF0047">
        <w:rPr>
          <w:color w:val="000000" w:themeColor="text1"/>
          <w:sz w:val="24"/>
          <w:szCs w:val="24"/>
        </w:rPr>
        <w:instrText>ADDIN CSL_CITATION {"citationItems":[{"id":"ITEM-1","itemData":{"URL":"https://cran.r-project.org/web/packages/Rwave/index.html","accessed":{"date-parts":[["2019","4","30"]]},"author":[{"dropping-particle":"","family":"Rene Carmona, Bruno Torresani, Brandon Whitcher, Andrea Wang, Wen-Liang Hwang","given":"Jonathan M. Lees","non-dropping-particle":"","parse-names":false,"suffix":""}],"id":"ITEM-1","issued":{"date-parts":[["0"]]},"title":"CRAN - Package Rwave","type":"webpage"},"uris":["http://www.mendeley.com/documents/?uuid=4ea5ca38-80db-39da-b6a4-e8beaaa3e16a"]}],"mendeley":{"formattedCitation":"(&lt;i&gt;12&lt;/i&gt;)","plainTextFormattedCitation":"(12)"},"properties":{"noteIndex":0},"schema":"https://github.com/citation-style-language/schema/raw/master/csl-citation.json"}</w:instrText>
      </w:r>
      <w:r w:rsidR="00DF0047">
        <w:rPr>
          <w:color w:val="000000" w:themeColor="text1"/>
          <w:sz w:val="24"/>
          <w:szCs w:val="24"/>
        </w:rPr>
        <w:fldChar w:fldCharType="separate"/>
      </w:r>
      <w:r w:rsidR="00DF0047" w:rsidRPr="00DF0047">
        <w:rPr>
          <w:noProof/>
          <w:color w:val="000000" w:themeColor="text1"/>
          <w:sz w:val="24"/>
          <w:szCs w:val="24"/>
        </w:rPr>
        <w:t>(</w:t>
      </w:r>
      <w:r w:rsidR="00DF0047" w:rsidRPr="00DF0047">
        <w:rPr>
          <w:i/>
          <w:noProof/>
          <w:color w:val="000000" w:themeColor="text1"/>
          <w:sz w:val="24"/>
          <w:szCs w:val="24"/>
        </w:rPr>
        <w:t>12</w:t>
      </w:r>
      <w:r w:rsidR="00DF0047" w:rsidRPr="00DF0047">
        <w:rPr>
          <w:noProof/>
          <w:color w:val="000000" w:themeColor="text1"/>
          <w:sz w:val="24"/>
          <w:szCs w:val="24"/>
        </w:rPr>
        <w:t>)</w:t>
      </w:r>
      <w:r w:rsidR="00DF0047">
        <w:rPr>
          <w:color w:val="000000" w:themeColor="text1"/>
          <w:sz w:val="24"/>
          <w:szCs w:val="24"/>
        </w:rPr>
        <w:fldChar w:fldCharType="end"/>
      </w:r>
      <w:r w:rsidR="00DF0047">
        <w:rPr>
          <w:color w:val="000000" w:themeColor="text1"/>
          <w:sz w:val="24"/>
          <w:szCs w:val="24"/>
        </w:rPr>
        <w:t xml:space="preserve"> package for this analysis, using the ‘cwt’ and ‘Mod’ functions.</w:t>
      </w:r>
      <w:r w:rsidR="00E532A4">
        <w:rPr>
          <w:color w:val="000000" w:themeColor="text1"/>
          <w:sz w:val="24"/>
          <w:szCs w:val="24"/>
        </w:rPr>
        <w:t xml:space="preserve"> </w:t>
      </w:r>
      <w:r w:rsidR="00A45F5B">
        <w:rPr>
          <w:color w:val="000000" w:themeColor="text1"/>
          <w:sz w:val="24"/>
          <w:szCs w:val="24"/>
        </w:rPr>
        <w:t xml:space="preserve">To quantify dominant frequencies in both the data and simulated fitted model, we extract the greater periodic signal at each time step. For example, in 1905, the death data shows a dominant annual signature, so we classify that as a one-year-cycle at that time point. </w:t>
      </w:r>
    </w:p>
    <w:p w14:paraId="39FA7CCC" w14:textId="77777777" w:rsidR="0083544A" w:rsidRPr="00D85C1B" w:rsidRDefault="0083544A" w:rsidP="0083544A">
      <w:pPr>
        <w:rPr>
          <w:color w:val="000000" w:themeColor="text1"/>
          <w:sz w:val="24"/>
          <w:szCs w:val="24"/>
        </w:rPr>
      </w:pPr>
    </w:p>
    <w:p w14:paraId="59927B65" w14:textId="77777777" w:rsidR="0083544A" w:rsidRPr="00D85C1B" w:rsidRDefault="0083544A" w:rsidP="0083544A">
      <w:pPr>
        <w:keepNext/>
        <w:rPr>
          <w:color w:val="000000" w:themeColor="text1"/>
          <w:sz w:val="24"/>
          <w:szCs w:val="24"/>
        </w:rPr>
      </w:pPr>
      <w:r w:rsidRPr="00D85C1B">
        <w:rPr>
          <w:noProof/>
          <w:color w:val="000000" w:themeColor="text1"/>
        </w:rPr>
        <w:lastRenderedPageBreak/>
        <w:drawing>
          <wp:inline distT="0" distB="0" distL="0" distR="0" wp14:anchorId="0C10ABF1" wp14:editId="76A0F891">
            <wp:extent cx="5943600" cy="445770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8"/>
                    <a:stretch>
                      <a:fillRect/>
                    </a:stretch>
                  </pic:blipFill>
                  <pic:spPr bwMode="auto">
                    <a:xfrm>
                      <a:off x="0" y="0"/>
                      <a:ext cx="5943600" cy="4457700"/>
                    </a:xfrm>
                    <a:prstGeom prst="rect">
                      <a:avLst/>
                    </a:prstGeom>
                  </pic:spPr>
                </pic:pic>
              </a:graphicData>
            </a:graphic>
          </wp:inline>
        </w:drawing>
      </w:r>
    </w:p>
    <w:p w14:paraId="6394B100" w14:textId="77777777" w:rsidR="0083544A" w:rsidRPr="00D85C1B" w:rsidRDefault="0083544A" w:rsidP="0083544A">
      <w:pPr>
        <w:pStyle w:val="Caption"/>
        <w:rPr>
          <w:color w:val="000000" w:themeColor="text1"/>
          <w:sz w:val="24"/>
          <w:szCs w:val="24"/>
        </w:rPr>
      </w:pPr>
      <w:r w:rsidRPr="00D85C1B">
        <w:rPr>
          <w:color w:val="000000" w:themeColor="text1"/>
          <w:sz w:val="24"/>
          <w:szCs w:val="24"/>
        </w:rPr>
        <w:t>Figure S4: Local power spectra for the death and case data. The black outlines denote significance levels with red referring to dominant periodicity and blue low levels of inferred periodicity.</w:t>
      </w:r>
    </w:p>
    <w:p w14:paraId="5A5728A3" w14:textId="77777777" w:rsidR="0083544A" w:rsidRPr="00D85C1B" w:rsidRDefault="0083544A" w:rsidP="0083544A">
      <w:pPr>
        <w:rPr>
          <w:color w:val="000000" w:themeColor="text1"/>
        </w:rPr>
      </w:pPr>
    </w:p>
    <w:p w14:paraId="54A13A6B" w14:textId="5C804944" w:rsidR="00DF0047" w:rsidRPr="00DF0047" w:rsidRDefault="002902ED" w:rsidP="00DF0047">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DF0047" w:rsidRPr="00DF0047">
        <w:rPr>
          <w:noProof/>
        </w:rPr>
        <w:t xml:space="preserve">1. </w:t>
      </w:r>
      <w:r w:rsidR="00DF0047" w:rsidRPr="00DF0047">
        <w:rPr>
          <w:noProof/>
        </w:rPr>
        <w:tab/>
        <w:t xml:space="preserve">D. He, E. L. Ionides, A. A. King, Plug-and-play inference for disease dynamics: measles in large and small populations as a case study. </w:t>
      </w:r>
      <w:r w:rsidR="00DF0047" w:rsidRPr="00DF0047">
        <w:rPr>
          <w:i/>
          <w:iCs/>
          <w:noProof/>
        </w:rPr>
        <w:t>J. R. Soc. Interface</w:t>
      </w:r>
      <w:r w:rsidR="00DF0047" w:rsidRPr="00DF0047">
        <w:rPr>
          <w:noProof/>
        </w:rPr>
        <w:t xml:space="preserve">. </w:t>
      </w:r>
      <w:r w:rsidR="00DF0047" w:rsidRPr="00DF0047">
        <w:rPr>
          <w:b/>
          <w:bCs/>
          <w:noProof/>
        </w:rPr>
        <w:t>7</w:t>
      </w:r>
      <w:r w:rsidR="00DF0047" w:rsidRPr="00DF0047">
        <w:rPr>
          <w:noProof/>
        </w:rPr>
        <w:t>, 271–283 (2010).</w:t>
      </w:r>
    </w:p>
    <w:p w14:paraId="484B0232"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2. </w:t>
      </w:r>
      <w:r w:rsidRPr="00DF0047">
        <w:rPr>
          <w:noProof/>
        </w:rPr>
        <w:tab/>
        <w:t xml:space="preserve">A. A. King, D. Nguyen, E. L. Ionides, Statistical Inference for Partially Observed Markov Processes via the </w:t>
      </w:r>
      <w:r w:rsidRPr="00DF0047">
        <w:rPr>
          <w:i/>
          <w:iCs/>
          <w:noProof/>
        </w:rPr>
        <w:t>R</w:t>
      </w:r>
      <w:r w:rsidRPr="00DF0047">
        <w:rPr>
          <w:noProof/>
        </w:rPr>
        <w:t xml:space="preserve"> Package </w:t>
      </w:r>
      <w:r w:rsidRPr="00DF0047">
        <w:rPr>
          <w:b/>
          <w:bCs/>
          <w:noProof/>
        </w:rPr>
        <w:t>pomp</w:t>
      </w:r>
      <w:r w:rsidRPr="00DF0047">
        <w:rPr>
          <w:noProof/>
        </w:rPr>
        <w:t xml:space="preserve">. </w:t>
      </w:r>
      <w:r w:rsidRPr="00DF0047">
        <w:rPr>
          <w:i/>
          <w:iCs/>
          <w:noProof/>
        </w:rPr>
        <w:t>J. Stat. Softw.</w:t>
      </w:r>
      <w:r w:rsidRPr="00DF0047">
        <w:rPr>
          <w:noProof/>
        </w:rPr>
        <w:t xml:space="preserve"> </w:t>
      </w:r>
      <w:r w:rsidRPr="00DF0047">
        <w:rPr>
          <w:b/>
          <w:bCs/>
          <w:noProof/>
        </w:rPr>
        <w:t>69</w:t>
      </w:r>
      <w:r w:rsidRPr="00DF0047">
        <w:rPr>
          <w:noProof/>
        </w:rPr>
        <w:t>, 1–43 (2016).</w:t>
      </w:r>
    </w:p>
    <w:p w14:paraId="00A02484"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3. </w:t>
      </w:r>
      <w:r w:rsidRPr="00DF0047">
        <w:rPr>
          <w:noProof/>
        </w:rPr>
        <w:tab/>
        <w:t xml:space="preserve">A. A. King </w:t>
      </w:r>
      <w:r w:rsidRPr="00DF0047">
        <w:rPr>
          <w:i/>
          <w:iCs/>
          <w:noProof/>
        </w:rPr>
        <w:t>et al.</w:t>
      </w:r>
      <w:r w:rsidRPr="00DF0047">
        <w:rPr>
          <w:noProof/>
        </w:rPr>
        <w:t>, pomp: Statistical Inference for Partially Observed Markov Processes (2015), (available at https://cran.r-project.org/web/packages/pomp/index.html).</w:t>
      </w:r>
    </w:p>
    <w:p w14:paraId="1AA58218"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4. </w:t>
      </w:r>
      <w:r w:rsidRPr="00DF0047">
        <w:rPr>
          <w:noProof/>
        </w:rPr>
        <w:tab/>
        <w:t xml:space="preserve">C. Bretó, D. He, E. L. Ionides, A. A. King, TIME SERIES ANALYSIS VIA MECHANISTIC MODELS. </w:t>
      </w:r>
      <w:r w:rsidRPr="00DF0047">
        <w:rPr>
          <w:i/>
          <w:iCs/>
          <w:noProof/>
        </w:rPr>
        <w:t>Ann. Appl. Stat.</w:t>
      </w:r>
      <w:r w:rsidRPr="00DF0047">
        <w:rPr>
          <w:noProof/>
        </w:rPr>
        <w:t xml:space="preserve"> </w:t>
      </w:r>
      <w:r w:rsidRPr="00DF0047">
        <w:rPr>
          <w:b/>
          <w:bCs/>
          <w:noProof/>
        </w:rPr>
        <w:t>3</w:t>
      </w:r>
      <w:r w:rsidRPr="00DF0047">
        <w:rPr>
          <w:noProof/>
        </w:rPr>
        <w:t>, 319–348 (2009).</w:t>
      </w:r>
    </w:p>
    <w:p w14:paraId="5A7C97A7"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5. </w:t>
      </w:r>
      <w:r w:rsidRPr="00DF0047">
        <w:rPr>
          <w:noProof/>
        </w:rPr>
        <w:tab/>
        <w:t xml:space="preserve">E. L. Ionides, C. Bretó, A. A. King, Inference for nonlinear dynamical systems. </w:t>
      </w:r>
      <w:r w:rsidRPr="00DF0047">
        <w:rPr>
          <w:i/>
          <w:iCs/>
          <w:noProof/>
        </w:rPr>
        <w:t>Proc. Natl. Acad. Sci. U. S. A.</w:t>
      </w:r>
      <w:r w:rsidRPr="00DF0047">
        <w:rPr>
          <w:noProof/>
        </w:rPr>
        <w:t xml:space="preserve"> </w:t>
      </w:r>
      <w:r w:rsidRPr="00DF0047">
        <w:rPr>
          <w:b/>
          <w:bCs/>
          <w:noProof/>
        </w:rPr>
        <w:t>103</w:t>
      </w:r>
      <w:r w:rsidRPr="00DF0047">
        <w:rPr>
          <w:noProof/>
        </w:rPr>
        <w:t>, 18438–18443 (2006).</w:t>
      </w:r>
    </w:p>
    <w:p w14:paraId="78D2CB34"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6. </w:t>
      </w:r>
      <w:r w:rsidRPr="00DF0047">
        <w:rPr>
          <w:noProof/>
        </w:rPr>
        <w:tab/>
        <w:t xml:space="preserve">O. N. Bjørnstad, B. F. Finkenstädt, B. T. Grenfell, Dynamics of measles epidemics: Estimating scaling of transmission rates using a Time series SIR model. </w:t>
      </w:r>
      <w:r w:rsidRPr="00DF0047">
        <w:rPr>
          <w:i/>
          <w:iCs/>
          <w:noProof/>
        </w:rPr>
        <w:t>Ecol. Monogr.</w:t>
      </w:r>
      <w:r w:rsidRPr="00DF0047">
        <w:rPr>
          <w:noProof/>
        </w:rPr>
        <w:t xml:space="preserve"> </w:t>
      </w:r>
      <w:r w:rsidRPr="00DF0047">
        <w:rPr>
          <w:b/>
          <w:bCs/>
          <w:noProof/>
        </w:rPr>
        <w:t>72</w:t>
      </w:r>
      <w:r w:rsidRPr="00DF0047">
        <w:rPr>
          <w:noProof/>
        </w:rPr>
        <w:t>, 169–184 (2002).</w:t>
      </w:r>
    </w:p>
    <w:p w14:paraId="49CA70D8"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7. </w:t>
      </w:r>
      <w:r w:rsidRPr="00DF0047">
        <w:rPr>
          <w:noProof/>
        </w:rPr>
        <w:tab/>
        <w:t xml:space="preserve">R. M. Anderson, R. M. May, </w:t>
      </w:r>
      <w:r w:rsidRPr="00DF0047">
        <w:rPr>
          <w:i/>
          <w:iCs/>
          <w:noProof/>
        </w:rPr>
        <w:t>Infectious diseases of humans: Dynamics and control.</w:t>
      </w:r>
      <w:r w:rsidRPr="00DF0047">
        <w:rPr>
          <w:noProof/>
        </w:rPr>
        <w:t xml:space="preserve"> (Oxford: Oxford University Press, 1992; http://onlinelibrary.wiley.com/doi/10.1002/hep.1840150131/abstract), vol. 15.</w:t>
      </w:r>
    </w:p>
    <w:p w14:paraId="7657D81F"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8. </w:t>
      </w:r>
      <w:r w:rsidRPr="00DF0047">
        <w:rPr>
          <w:noProof/>
        </w:rPr>
        <w:tab/>
        <w:t xml:space="preserve">B. T. Grenfell, O. N. Bjørnstad, B. F. Finkenstädt, Dynamics of measles epidemics: scaling noise, determinism, and predictability with the tsir model. </w:t>
      </w:r>
      <w:r w:rsidRPr="00DF0047">
        <w:rPr>
          <w:i/>
          <w:iCs/>
          <w:noProof/>
        </w:rPr>
        <w:t>Ecol. Monogr.</w:t>
      </w:r>
      <w:r w:rsidRPr="00DF0047">
        <w:rPr>
          <w:noProof/>
        </w:rPr>
        <w:t xml:space="preserve"> </w:t>
      </w:r>
      <w:r w:rsidRPr="00DF0047">
        <w:rPr>
          <w:b/>
          <w:bCs/>
          <w:noProof/>
        </w:rPr>
        <w:t>72</w:t>
      </w:r>
      <w:r w:rsidRPr="00DF0047">
        <w:rPr>
          <w:noProof/>
        </w:rPr>
        <w:t>, 185–202 (2002).</w:t>
      </w:r>
    </w:p>
    <w:p w14:paraId="230B0C4F"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9. </w:t>
      </w:r>
      <w:r w:rsidRPr="00DF0047">
        <w:rPr>
          <w:noProof/>
        </w:rPr>
        <w:tab/>
        <w:t xml:space="preserve">A. D. Becker, B. T. Grenfell, tsiR: An R package for time-series Susceptible-Infected-Recovered </w:t>
      </w:r>
      <w:r w:rsidRPr="00DF0047">
        <w:rPr>
          <w:noProof/>
        </w:rPr>
        <w:lastRenderedPageBreak/>
        <w:t xml:space="preserve">models of epidemics. </w:t>
      </w:r>
      <w:r w:rsidRPr="00DF0047">
        <w:rPr>
          <w:i/>
          <w:iCs/>
          <w:noProof/>
        </w:rPr>
        <w:t>PLoS One</w:t>
      </w:r>
      <w:r w:rsidRPr="00DF0047">
        <w:rPr>
          <w:noProof/>
        </w:rPr>
        <w:t xml:space="preserve">. </w:t>
      </w:r>
      <w:r w:rsidRPr="00DF0047">
        <w:rPr>
          <w:b/>
          <w:bCs/>
          <w:noProof/>
        </w:rPr>
        <w:t>12</w:t>
      </w:r>
      <w:r w:rsidRPr="00DF0047">
        <w:rPr>
          <w:noProof/>
        </w:rPr>
        <w:t>, e0185528 (2017).</w:t>
      </w:r>
    </w:p>
    <w:p w14:paraId="79E3EDAA"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10. </w:t>
      </w:r>
      <w:r w:rsidRPr="00DF0047">
        <w:rPr>
          <w:noProof/>
        </w:rPr>
        <w:tab/>
        <w:t xml:space="preserve">N. B. Mantilla-Beniers, O. N. Bjørnstad, B. T. Grenfell, P. Rohani, Decreasing stochasticity through enhanced seasonality in measles epidemics. </w:t>
      </w:r>
      <w:r w:rsidRPr="00DF0047">
        <w:rPr>
          <w:i/>
          <w:iCs/>
          <w:noProof/>
        </w:rPr>
        <w:t>J. R. Soc. Interface</w:t>
      </w:r>
      <w:r w:rsidRPr="00DF0047">
        <w:rPr>
          <w:noProof/>
        </w:rPr>
        <w:t xml:space="preserve">. </w:t>
      </w:r>
      <w:r w:rsidRPr="00DF0047">
        <w:rPr>
          <w:b/>
          <w:bCs/>
          <w:noProof/>
        </w:rPr>
        <w:t>7</w:t>
      </w:r>
      <w:r w:rsidRPr="00DF0047">
        <w:rPr>
          <w:noProof/>
        </w:rPr>
        <w:t>, 727–39 (2010).</w:t>
      </w:r>
    </w:p>
    <w:p w14:paraId="38219116"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11. </w:t>
      </w:r>
      <w:r w:rsidRPr="00DF0047">
        <w:rPr>
          <w:noProof/>
        </w:rPr>
        <w:tab/>
        <w:t xml:space="preserve">A. A. King, E. L. Ionides, M. Pascual, M. J. Bouma, Inapparent infections and cholera dynamics. </w:t>
      </w:r>
      <w:r w:rsidRPr="00DF0047">
        <w:rPr>
          <w:i/>
          <w:iCs/>
          <w:noProof/>
        </w:rPr>
        <w:t>Nature</w:t>
      </w:r>
      <w:r w:rsidRPr="00DF0047">
        <w:rPr>
          <w:noProof/>
        </w:rPr>
        <w:t xml:space="preserve">. </w:t>
      </w:r>
      <w:r w:rsidRPr="00DF0047">
        <w:rPr>
          <w:b/>
          <w:bCs/>
          <w:noProof/>
        </w:rPr>
        <w:t>454</w:t>
      </w:r>
      <w:r w:rsidRPr="00DF0047">
        <w:rPr>
          <w:noProof/>
        </w:rPr>
        <w:t>, 877–880 (2008).</w:t>
      </w:r>
    </w:p>
    <w:p w14:paraId="7AC7DC6B"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12. </w:t>
      </w:r>
      <w:r w:rsidRPr="00DF0047">
        <w:rPr>
          <w:noProof/>
        </w:rPr>
        <w:tab/>
        <w:t>J. M. L. Rene Carmona, Bruno Torresani, Brandon Whitcher, Andrea Wang, Wen-Liang Hwang, CRAN - Package Rwave, (available at https://cran.r-project.org/web/packages/Rwave/index.html).</w:t>
      </w:r>
    </w:p>
    <w:p w14:paraId="66E1BC37" w14:textId="2EAE3048" w:rsidR="0083544A" w:rsidRPr="00D85C1B" w:rsidRDefault="002902ED" w:rsidP="00DF0047">
      <w:pPr>
        <w:widowControl w:val="0"/>
        <w:autoSpaceDE w:val="0"/>
        <w:autoSpaceDN w:val="0"/>
        <w:adjustRightInd w:val="0"/>
        <w:ind w:left="640" w:hanging="640"/>
      </w:pPr>
      <w:r>
        <w:fldChar w:fldCharType="end"/>
      </w:r>
    </w:p>
    <w:sectPr w:rsidR="0083544A" w:rsidRPr="00D85C1B" w:rsidSect="00AC076D">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44A"/>
    <w:rsid w:val="00036B61"/>
    <w:rsid w:val="00056BC8"/>
    <w:rsid w:val="00081587"/>
    <w:rsid w:val="000E42DC"/>
    <w:rsid w:val="0010728E"/>
    <w:rsid w:val="00133890"/>
    <w:rsid w:val="00150DC7"/>
    <w:rsid w:val="002273FB"/>
    <w:rsid w:val="00273F2E"/>
    <w:rsid w:val="002902ED"/>
    <w:rsid w:val="002B22E2"/>
    <w:rsid w:val="002B5935"/>
    <w:rsid w:val="002E1054"/>
    <w:rsid w:val="00356A2A"/>
    <w:rsid w:val="003A4B5E"/>
    <w:rsid w:val="003E0B3C"/>
    <w:rsid w:val="00412987"/>
    <w:rsid w:val="0047521B"/>
    <w:rsid w:val="0047556E"/>
    <w:rsid w:val="004854E1"/>
    <w:rsid w:val="004A293F"/>
    <w:rsid w:val="004C7A17"/>
    <w:rsid w:val="004D69AA"/>
    <w:rsid w:val="00547B82"/>
    <w:rsid w:val="005D6116"/>
    <w:rsid w:val="00633E88"/>
    <w:rsid w:val="006A5626"/>
    <w:rsid w:val="00725DBB"/>
    <w:rsid w:val="00797D6F"/>
    <w:rsid w:val="007C30C5"/>
    <w:rsid w:val="0083544A"/>
    <w:rsid w:val="0085506C"/>
    <w:rsid w:val="008709E5"/>
    <w:rsid w:val="00886EC4"/>
    <w:rsid w:val="008967EF"/>
    <w:rsid w:val="008E4054"/>
    <w:rsid w:val="008E68A0"/>
    <w:rsid w:val="009D0679"/>
    <w:rsid w:val="00A12928"/>
    <w:rsid w:val="00A201BB"/>
    <w:rsid w:val="00A2693D"/>
    <w:rsid w:val="00A45F5B"/>
    <w:rsid w:val="00A54F99"/>
    <w:rsid w:val="00AC076D"/>
    <w:rsid w:val="00AD04C3"/>
    <w:rsid w:val="00B75908"/>
    <w:rsid w:val="00BC7596"/>
    <w:rsid w:val="00BE7CBC"/>
    <w:rsid w:val="00C74E0A"/>
    <w:rsid w:val="00C810CE"/>
    <w:rsid w:val="00C94C6C"/>
    <w:rsid w:val="00D34F62"/>
    <w:rsid w:val="00D85C1B"/>
    <w:rsid w:val="00DA6754"/>
    <w:rsid w:val="00DB7A12"/>
    <w:rsid w:val="00DF0047"/>
    <w:rsid w:val="00E532A4"/>
    <w:rsid w:val="00E92C14"/>
    <w:rsid w:val="00EC4584"/>
    <w:rsid w:val="00EE7E74"/>
    <w:rsid w:val="00F26351"/>
    <w:rsid w:val="00FB3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4A0B1"/>
  <w14:defaultImageDpi w14:val="32767"/>
  <w15:chartTrackingRefBased/>
  <w15:docId w15:val="{4DD861E3-1A96-6647-AE9E-9DE889FA9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3544A"/>
    <w:rPr>
      <w:rFonts w:ascii="Times New Roman" w:hAnsi="Times New Roman" w:cs="Times New Roman"/>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TextBody"/>
    <w:uiPriority w:val="1"/>
    <w:qFormat/>
    <w:rsid w:val="0083544A"/>
    <w:rPr>
      <w:rFonts w:eastAsia="Times New Roman"/>
      <w:color w:val="00000A"/>
    </w:rPr>
  </w:style>
  <w:style w:type="paragraph" w:customStyle="1" w:styleId="TextBody">
    <w:name w:val="Text Body"/>
    <w:basedOn w:val="Normal"/>
    <w:link w:val="BodyTextChar"/>
    <w:uiPriority w:val="1"/>
    <w:qFormat/>
    <w:rsid w:val="0083544A"/>
    <w:pPr>
      <w:widowControl w:val="0"/>
      <w:ind w:left="100"/>
    </w:pPr>
    <w:rPr>
      <w:rFonts w:asciiTheme="minorHAnsi" w:eastAsia="Times New Roman" w:hAnsiTheme="minorHAnsi" w:cstheme="minorBidi"/>
      <w:color w:val="00000A"/>
      <w:sz w:val="24"/>
      <w:szCs w:val="24"/>
    </w:rPr>
  </w:style>
  <w:style w:type="paragraph" w:styleId="Caption">
    <w:name w:val="caption"/>
    <w:basedOn w:val="Normal"/>
    <w:next w:val="Normal"/>
    <w:uiPriority w:val="35"/>
    <w:unhideWhenUsed/>
    <w:qFormat/>
    <w:rsid w:val="0083544A"/>
    <w:pPr>
      <w:spacing w:after="200"/>
    </w:pPr>
    <w:rPr>
      <w:i/>
      <w:iCs/>
      <w:color w:val="44546A" w:themeColor="text2"/>
      <w:sz w:val="18"/>
      <w:szCs w:val="18"/>
    </w:rPr>
  </w:style>
  <w:style w:type="table" w:styleId="TableGrid">
    <w:name w:val="Table Grid"/>
    <w:basedOn w:val="TableNormal"/>
    <w:uiPriority w:val="39"/>
    <w:rsid w:val="00C81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10CE"/>
    <w:rPr>
      <w:color w:val="808080"/>
    </w:rPr>
  </w:style>
  <w:style w:type="character" w:styleId="LineNumber">
    <w:name w:val="line number"/>
    <w:basedOn w:val="DefaultParagraphFont"/>
    <w:uiPriority w:val="99"/>
    <w:semiHidden/>
    <w:unhideWhenUsed/>
    <w:rsid w:val="00AC0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9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E43EABBA-9AFE-B140-B811-388661B5B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8</Pages>
  <Words>7422</Words>
  <Characters>42310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Alex Becker</cp:lastModifiedBy>
  <cp:revision>38</cp:revision>
  <dcterms:created xsi:type="dcterms:W3CDTF">2019-04-29T12:39:00Z</dcterms:created>
  <dcterms:modified xsi:type="dcterms:W3CDTF">2019-05-10T15:53:00Z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a20ef970-ff62-3fe3-a422-fa53035f47b9</vt:lpwstr>
  </property>
  <property fmtid="{D5CDD505-2E9C-101B-9397-08002B2CF9AE}" pid="24" name="Mendeley Citation Style_1">
    <vt:lpwstr>http://www.zotero.org/styles/science</vt:lpwstr>
  </property>
</Properties>
</file>