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0439686">
      <w:pPr>
        <w:spacing w:before="0" w:after="80" w:line="264" w:lineRule="auto"/>
        <w:jc w:val="center"/>
        <w:rPr>
          <w:color w:val="auto"/>
        </w:rPr>
      </w:pPr>
      <w:r>
        <w:rPr>
          <w:rFonts w:ascii="Calibri" w:hAnsi="Calibri" w:eastAsia="微软雅黑"/>
          <w:b/>
          <w:bCs/>
          <w:color w:val="auto"/>
          <w:sz w:val="34"/>
          <w:szCs w:val="34"/>
        </w:rPr>
        <w:t>FLAC3D 手册</w:t>
      </w:r>
      <w:r>
        <w:rPr>
          <w:rFonts w:ascii="Calibri" w:hAnsi="Calibri" w:eastAsia="微软雅黑"/>
          <w:b/>
          <w:bCs/>
          <w:color w:val="auto"/>
          <w:sz w:val="34"/>
          <w:szCs w:val="34"/>
        </w:rPr>
        <w:t>Figure 3.49</w:t>
      </w:r>
      <w:r>
        <w:rPr>
          <w:rFonts w:ascii="Calibri" w:hAnsi="Calibri" w:eastAsia="微软雅黑"/>
          <w:b/>
          <w:bCs/>
          <w:color w:val="auto"/>
          <w:sz w:val="34"/>
          <w:szCs w:val="34"/>
        </w:rPr>
        <w:t>动力响应完整复现报告</w:t>
      </w:r>
    </w:p>
    <w:p w14:paraId="60C8A1AF">
      <w:pPr>
        <w:pBdr>
          <w:bottom w:val="single" w:color="2E74B5" w:sz="8" w:space="3"/>
        </w:pBdr>
        <w:spacing w:after="260"/>
      </w:pPr>
    </w:p>
    <w:p w14:paraId="3E3A487B">
      <w:pPr>
        <w:pStyle w:val="2"/>
        <w:spacing w:before="320" w:after="160" w:line="264" w:lineRule="auto"/>
      </w:pPr>
      <w:r>
        <w:rPr>
          <w:rFonts w:ascii="Calibri" w:hAnsi="Calibri" w:eastAsia="微软雅黑"/>
          <w:color w:val="000000"/>
          <w:sz w:val="22"/>
          <w:szCs w:val="22"/>
        </w:rPr>
        <w:t>1. 复现目标与依据</w:t>
      </w:r>
    </w:p>
    <w:p w14:paraId="083FB27F">
      <w:pPr>
        <w:spacing w:before="0" w:after="120" w:line="264" w:lineRule="auto"/>
      </w:pPr>
      <w:r>
        <w:rPr>
          <w:rFonts w:ascii="Calibri" w:hAnsi="Calibri" w:eastAsia="微软雅黑"/>
          <w:color w:val="000000"/>
          <w:sz w:val="22"/>
          <w:szCs w:val="22"/>
        </w:rPr>
        <w:t>本报告只采用 FLAC3D 手册中的层状线弹性土柱算例参数，完整复现 Figure 3.49 “Input acceleration at bottom of model”。底部输入加速度采用手册给出的解析式 sqrt(0.375 exp(-2.2t) t^8) sin(6πt)，并由 PIPLE.py 直接生成同一时程。</w:t>
      </w:r>
    </w:p>
    <w:p w14:paraId="0D427EF7">
      <w:pPr>
        <w:spacing w:before="0" w:after="120" w:line="264" w:lineRule="auto"/>
      </w:pPr>
      <w:r>
        <w:rPr>
          <w:rFonts w:ascii="Calibri" w:hAnsi="Calibri" w:eastAsia="微软雅黑"/>
          <w:color w:val="000000"/>
          <w:sz w:val="22"/>
          <w:szCs w:val="22"/>
        </w:rPr>
        <w:t>FLAC3D 原算例使用 dynamic free-field quiet boundary、Rayleigh damping、SHAKE91 对比结果和 x 方向加速度输入。GeoTaichi 当前脚本没有 FLAC3D 命令级的 quiet/free-field 边界接口，因此 PIPLE.py 保留 GeoTaichi 运行诊断，并新增一维层状剪切梁等效求解器，以当前代码条件尽量复现完整动力响应。</w:t>
      </w:r>
    </w:p>
    <w:p w14:paraId="777B8E57">
      <w:pPr>
        <w:pStyle w:val="2"/>
        <w:spacing w:before="320" w:after="160" w:line="264" w:lineRule="auto"/>
      </w:pPr>
      <w:r>
        <w:rPr>
          <w:rFonts w:ascii="Calibri" w:hAnsi="Calibri" w:eastAsia="微软雅黑"/>
          <w:color w:val="000000"/>
          <w:sz w:val="22"/>
          <w:szCs w:val="22"/>
        </w:rPr>
        <w:t>2. FLAC3D 参数到 PIPLE.py 的映射</w:t>
      </w:r>
    </w:p>
    <w:tbl>
      <w:tblPr>
        <w:tblStyle w:val="4"/>
        <w:tblW w:w="9360" w:type="dxa"/>
        <w:tblInd w:w="120" w:type="dxa"/>
        <w:tblBorders>
          <w:top w:val="single" w:color="D0D7DE" w:sz="4" w:space="0"/>
          <w:left w:val="single" w:color="D0D7DE" w:sz="4" w:space="0"/>
          <w:bottom w:val="single" w:color="D0D7DE" w:sz="4" w:space="0"/>
          <w:right w:val="single" w:color="D0D7DE" w:sz="4" w:space="0"/>
          <w:insideH w:val="single" w:color="D0D7DE" w:sz="4" w:space="0"/>
          <w:insideV w:val="single" w:color="D0D7DE" w:sz="4" w:space="0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2300"/>
        <w:gridCol w:w="3400"/>
        <w:gridCol w:w="3660"/>
      </w:tblGrid>
      <w:tr w14:paraId="0C270C43">
        <w:tblPrEx>
          <w:tblBorders>
            <w:top w:val="single" w:color="D0D7DE" w:sz="4" w:space="0"/>
            <w:left w:val="single" w:color="D0D7DE" w:sz="4" w:space="0"/>
            <w:bottom w:val="single" w:color="D0D7DE" w:sz="4" w:space="0"/>
            <w:right w:val="single" w:color="D0D7DE" w:sz="4" w:space="0"/>
            <w:insideH w:val="single" w:color="D0D7DE" w:sz="4" w:space="0"/>
            <w:insideV w:val="single" w:color="D0D7DE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tcPr>
            <w:tcW w:w="2300" w:type="dxa"/>
            <w:shd w:val="clear" w:color="auto" w:fill="F2F4F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29BBC73">
            <w:pPr>
              <w:spacing w:before="0" w:after="40" w:line="260" w:lineRule="auto"/>
            </w:pPr>
            <w:r>
              <w:rPr>
                <w:rFonts w:ascii="Calibri" w:hAnsi="Calibri" w:eastAsia="微软雅黑"/>
                <w:b/>
                <w:bCs/>
                <w:color w:val="0B2545"/>
                <w:sz w:val="21"/>
                <w:szCs w:val="21"/>
              </w:rPr>
              <w:t>项目</w:t>
            </w:r>
          </w:p>
        </w:tc>
        <w:tc>
          <w:tcPr>
            <w:tcW w:w="3400" w:type="dxa"/>
            <w:shd w:val="clear" w:color="auto" w:fill="F2F4F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E8B4F87">
            <w:pPr>
              <w:spacing w:before="0" w:after="40" w:line="260" w:lineRule="auto"/>
            </w:pPr>
            <w:r>
              <w:rPr>
                <w:rFonts w:ascii="Calibri" w:hAnsi="Calibri" w:eastAsia="微软雅黑"/>
                <w:b/>
                <w:bCs/>
                <w:color w:val="0B2545"/>
                <w:sz w:val="21"/>
                <w:szCs w:val="21"/>
              </w:rPr>
              <w:t>FLAC3D 手册参数</w:t>
            </w:r>
          </w:p>
        </w:tc>
        <w:tc>
          <w:tcPr>
            <w:tcW w:w="3660" w:type="dxa"/>
            <w:shd w:val="clear" w:color="auto" w:fill="F2F4F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07760FD">
            <w:pPr>
              <w:spacing w:before="0" w:after="40" w:line="260" w:lineRule="auto"/>
            </w:pPr>
            <w:r>
              <w:rPr>
                <w:rFonts w:ascii="Calibri" w:hAnsi="Calibri" w:eastAsia="微软雅黑"/>
                <w:b/>
                <w:bCs/>
                <w:color w:val="0B2545"/>
                <w:sz w:val="21"/>
                <w:szCs w:val="21"/>
              </w:rPr>
              <w:t>PIPLE.py 设置</w:t>
            </w:r>
          </w:p>
        </w:tc>
      </w:tr>
      <w:tr w14:paraId="5D429FD7">
        <w:tblPrEx>
          <w:tblBorders>
            <w:top w:val="single" w:color="D0D7DE" w:sz="4" w:space="0"/>
            <w:left w:val="single" w:color="D0D7DE" w:sz="4" w:space="0"/>
            <w:bottom w:val="single" w:color="D0D7DE" w:sz="4" w:space="0"/>
            <w:right w:val="single" w:color="D0D7DE" w:sz="4" w:space="0"/>
            <w:insideH w:val="single" w:color="D0D7DE" w:sz="4" w:space="0"/>
            <w:insideV w:val="single" w:color="D0D7DE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tcPr>
            <w:tcW w:w="2300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CD8102C">
            <w:pPr>
              <w:spacing w:before="0" w:after="40" w:line="260" w:lineRule="auto"/>
            </w:pPr>
            <w:r>
              <w:rPr>
                <w:rFonts w:ascii="Calibri" w:hAnsi="Calibri" w:eastAsia="微软雅黑"/>
                <w:color w:val="000000"/>
                <w:sz w:val="20"/>
                <w:szCs w:val="20"/>
              </w:rPr>
              <w:t>模型高度</w:t>
            </w:r>
          </w:p>
        </w:tc>
        <w:tc>
          <w:tcPr>
            <w:tcW w:w="3400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C3C05EE">
            <w:pPr>
              <w:spacing w:before="0" w:after="40" w:line="260" w:lineRule="auto"/>
            </w:pPr>
            <w:r>
              <w:rPr>
                <w:rFonts w:ascii="Calibri" w:hAnsi="Calibri" w:eastAsia="微软雅黑"/>
                <w:color w:val="000000"/>
                <w:sz w:val="20"/>
                <w:szCs w:val="20"/>
              </w:rPr>
              <w:t>160 ft</w:t>
            </w:r>
          </w:p>
        </w:tc>
        <w:tc>
          <w:tcPr>
            <w:tcW w:w="3660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5538F9E">
            <w:pPr>
              <w:spacing w:before="0" w:after="40" w:line="260" w:lineRule="auto"/>
            </w:pPr>
            <w:r>
              <w:rPr>
                <w:rFonts w:ascii="Calibri" w:hAnsi="Calibri" w:eastAsia="微软雅黑"/>
                <w:color w:val="000000"/>
                <w:sz w:val="20"/>
                <w:szCs w:val="20"/>
              </w:rPr>
              <w:t>48.768 m</w:t>
            </w:r>
          </w:p>
        </w:tc>
      </w:tr>
      <w:tr w14:paraId="66F3AACF">
        <w:tblPrEx>
          <w:tblBorders>
            <w:top w:val="single" w:color="D0D7DE" w:sz="4" w:space="0"/>
            <w:left w:val="single" w:color="D0D7DE" w:sz="4" w:space="0"/>
            <w:bottom w:val="single" w:color="D0D7DE" w:sz="4" w:space="0"/>
            <w:right w:val="single" w:color="D0D7DE" w:sz="4" w:space="0"/>
            <w:insideH w:val="single" w:color="D0D7DE" w:sz="4" w:space="0"/>
            <w:insideV w:val="single" w:color="D0D7DE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tcPr>
            <w:tcW w:w="2300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EB5ED97">
            <w:pPr>
              <w:spacing w:before="0" w:after="40" w:line="260" w:lineRule="auto"/>
            </w:pPr>
            <w:r>
              <w:rPr>
                <w:rFonts w:ascii="Calibri" w:hAnsi="Calibri" w:eastAsia="微软雅黑"/>
                <w:color w:val="000000"/>
                <w:sz w:val="20"/>
                <w:szCs w:val="20"/>
              </w:rPr>
              <w:t>网格</w:t>
            </w:r>
          </w:p>
        </w:tc>
        <w:tc>
          <w:tcPr>
            <w:tcW w:w="3400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AA9AE4D">
            <w:pPr>
              <w:spacing w:before="0" w:after="40" w:line="260" w:lineRule="auto"/>
            </w:pPr>
            <w:r>
              <w:rPr>
                <w:rFonts w:ascii="Calibri" w:hAnsi="Calibri" w:eastAsia="微软雅黑"/>
                <w:color w:val="000000"/>
                <w:sz w:val="20"/>
                <w:szCs w:val="20"/>
              </w:rPr>
              <w:t>16 个 10 ft 单元</w:t>
            </w:r>
          </w:p>
        </w:tc>
        <w:tc>
          <w:tcPr>
            <w:tcW w:w="3660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C1694D9">
            <w:pPr>
              <w:spacing w:before="0" w:after="40" w:line="260" w:lineRule="auto"/>
            </w:pPr>
            <w:r>
              <w:rPr>
                <w:rFonts w:ascii="Calibri" w:hAnsi="Calibri" w:eastAsia="微软雅黑"/>
                <w:color w:val="000000"/>
                <w:sz w:val="20"/>
                <w:szCs w:val="20"/>
              </w:rPr>
              <w:t>16 个 Q4N2D 单元，高 3.048 m</w:t>
            </w:r>
          </w:p>
        </w:tc>
      </w:tr>
      <w:tr w14:paraId="5998CEDC">
        <w:tblPrEx>
          <w:tblBorders>
            <w:top w:val="single" w:color="D0D7DE" w:sz="4" w:space="0"/>
            <w:left w:val="single" w:color="D0D7DE" w:sz="4" w:space="0"/>
            <w:bottom w:val="single" w:color="D0D7DE" w:sz="4" w:space="0"/>
            <w:right w:val="single" w:color="D0D7DE" w:sz="4" w:space="0"/>
            <w:insideH w:val="single" w:color="D0D7DE" w:sz="4" w:space="0"/>
            <w:insideV w:val="single" w:color="D0D7DE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tcPr>
            <w:tcW w:w="2300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2D57DC1">
            <w:pPr>
              <w:spacing w:before="0" w:after="40" w:line="260" w:lineRule="auto"/>
            </w:pPr>
            <w:r>
              <w:rPr>
                <w:rFonts w:ascii="Calibri" w:hAnsi="Calibri" w:eastAsia="微软雅黑"/>
                <w:color w:val="000000"/>
                <w:sz w:val="20"/>
                <w:szCs w:val="20"/>
              </w:rPr>
              <w:t>材料 1</w:t>
            </w:r>
          </w:p>
        </w:tc>
        <w:tc>
          <w:tcPr>
            <w:tcW w:w="3400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8454EEB">
            <w:pPr>
              <w:spacing w:before="0" w:after="40" w:line="260" w:lineRule="auto"/>
            </w:pPr>
            <w:r>
              <w:rPr>
                <w:rFonts w:ascii="Calibri" w:hAnsi="Calibri" w:eastAsia="微软雅黑"/>
                <w:color w:val="000000"/>
                <w:sz w:val="20"/>
                <w:szCs w:val="20"/>
              </w:rPr>
              <w:t>K=150 MPa, G=150 MPa, rho=1800 kg/m3</w:t>
            </w:r>
          </w:p>
        </w:tc>
        <w:tc>
          <w:tcPr>
            <w:tcW w:w="3660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4C98722">
            <w:pPr>
              <w:spacing w:before="0" w:after="40" w:line="260" w:lineRule="auto"/>
            </w:pPr>
            <w:r>
              <w:rPr>
                <w:rFonts w:ascii="Calibri" w:hAnsi="Calibri" w:eastAsia="微软雅黑"/>
                <w:color w:val="000000"/>
                <w:sz w:val="20"/>
                <w:szCs w:val="20"/>
              </w:rPr>
              <w:t>上下软层，MaterialID=1</w:t>
            </w:r>
          </w:p>
        </w:tc>
      </w:tr>
      <w:tr w14:paraId="6CF4C976">
        <w:tblPrEx>
          <w:tblBorders>
            <w:top w:val="single" w:color="D0D7DE" w:sz="4" w:space="0"/>
            <w:left w:val="single" w:color="D0D7DE" w:sz="4" w:space="0"/>
            <w:bottom w:val="single" w:color="D0D7DE" w:sz="4" w:space="0"/>
            <w:right w:val="single" w:color="D0D7DE" w:sz="4" w:space="0"/>
            <w:insideH w:val="single" w:color="D0D7DE" w:sz="4" w:space="0"/>
            <w:insideV w:val="single" w:color="D0D7DE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tcPr>
            <w:tcW w:w="2300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4684CB7">
            <w:pPr>
              <w:spacing w:before="0" w:after="40" w:line="260" w:lineRule="auto"/>
            </w:pPr>
            <w:r>
              <w:rPr>
                <w:rFonts w:ascii="Calibri" w:hAnsi="Calibri" w:eastAsia="微软雅黑"/>
                <w:color w:val="000000"/>
                <w:sz w:val="20"/>
                <w:szCs w:val="20"/>
              </w:rPr>
              <w:t>材料 2</w:t>
            </w:r>
          </w:p>
        </w:tc>
        <w:tc>
          <w:tcPr>
            <w:tcW w:w="3400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C82A233">
            <w:pPr>
              <w:spacing w:before="0" w:after="40" w:line="260" w:lineRule="auto"/>
            </w:pPr>
            <w:r>
              <w:rPr>
                <w:rFonts w:ascii="Calibri" w:hAnsi="Calibri" w:eastAsia="微软雅黑"/>
                <w:color w:val="000000"/>
                <w:sz w:val="20"/>
                <w:szCs w:val="20"/>
              </w:rPr>
              <w:t>K=300 MPa, G=300 MPa, rho=2000 kg/m3</w:t>
            </w:r>
          </w:p>
        </w:tc>
        <w:tc>
          <w:tcPr>
            <w:tcW w:w="3660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975381A">
            <w:pPr>
              <w:spacing w:before="0" w:after="40" w:line="260" w:lineRule="auto"/>
            </w:pPr>
            <w:r>
              <w:rPr>
                <w:rFonts w:ascii="Calibri" w:hAnsi="Calibri" w:eastAsia="微软雅黑"/>
                <w:color w:val="000000"/>
                <w:sz w:val="20"/>
                <w:szCs w:val="20"/>
              </w:rPr>
              <w:t>中部 40 ft 硬层，MaterialID=2</w:t>
            </w:r>
          </w:p>
        </w:tc>
      </w:tr>
      <w:tr w14:paraId="30341D41">
        <w:tblPrEx>
          <w:tblBorders>
            <w:top w:val="single" w:color="D0D7DE" w:sz="4" w:space="0"/>
            <w:left w:val="single" w:color="D0D7DE" w:sz="4" w:space="0"/>
            <w:bottom w:val="single" w:color="D0D7DE" w:sz="4" w:space="0"/>
            <w:right w:val="single" w:color="D0D7DE" w:sz="4" w:space="0"/>
            <w:insideH w:val="single" w:color="D0D7DE" w:sz="4" w:space="0"/>
            <w:insideV w:val="single" w:color="D0D7DE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tcPr>
            <w:tcW w:w="2300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4EB7F43">
            <w:pPr>
              <w:spacing w:before="0" w:after="40" w:line="260" w:lineRule="auto"/>
            </w:pPr>
            <w:r>
              <w:rPr>
                <w:rFonts w:ascii="Calibri" w:hAnsi="Calibri" w:eastAsia="微软雅黑"/>
                <w:color w:val="000000"/>
                <w:sz w:val="20"/>
                <w:szCs w:val="20"/>
              </w:rPr>
              <w:t>硬层位置</w:t>
            </w:r>
          </w:p>
        </w:tc>
        <w:tc>
          <w:tcPr>
            <w:tcW w:w="3400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1C08E82">
            <w:pPr>
              <w:spacing w:before="0" w:after="40" w:line="260" w:lineRule="auto"/>
            </w:pPr>
            <w:r>
              <w:rPr>
                <w:rFonts w:ascii="Calibri" w:hAnsi="Calibri" w:eastAsia="微软雅黑"/>
                <w:color w:val="000000"/>
                <w:sz w:val="20"/>
                <w:szCs w:val="20"/>
              </w:rPr>
              <w:t>厚 40 ft，顶面以下 40 ft 开始</w:t>
            </w:r>
          </w:p>
        </w:tc>
        <w:tc>
          <w:tcPr>
            <w:tcW w:w="3660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6DED2D0">
            <w:pPr>
              <w:spacing w:before="0" w:after="40" w:line="260" w:lineRule="auto"/>
            </w:pPr>
            <w:r>
              <w:rPr>
                <w:rFonts w:ascii="Calibri" w:hAnsi="Calibri" w:eastAsia="微软雅黑"/>
                <w:color w:val="000000"/>
                <w:sz w:val="20"/>
                <w:szCs w:val="20"/>
              </w:rPr>
              <w:t>y=24.384 m 到 36.576 m</w:t>
            </w:r>
          </w:p>
        </w:tc>
      </w:tr>
      <w:tr w14:paraId="5AE041A0">
        <w:tblPrEx>
          <w:tblBorders>
            <w:top w:val="single" w:color="D0D7DE" w:sz="4" w:space="0"/>
            <w:left w:val="single" w:color="D0D7DE" w:sz="4" w:space="0"/>
            <w:bottom w:val="single" w:color="D0D7DE" w:sz="4" w:space="0"/>
            <w:right w:val="single" w:color="D0D7DE" w:sz="4" w:space="0"/>
            <w:insideH w:val="single" w:color="D0D7DE" w:sz="4" w:space="0"/>
            <w:insideV w:val="single" w:color="D0D7DE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tcPr>
            <w:tcW w:w="2300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AB97493">
            <w:pPr>
              <w:spacing w:before="0" w:after="40" w:line="260" w:lineRule="auto"/>
            </w:pPr>
            <w:r>
              <w:rPr>
                <w:rFonts w:ascii="Calibri" w:hAnsi="Calibri" w:eastAsia="微软雅黑"/>
                <w:color w:val="000000"/>
                <w:sz w:val="20"/>
                <w:szCs w:val="20"/>
              </w:rPr>
              <w:t>输入加速度</w:t>
            </w:r>
          </w:p>
        </w:tc>
        <w:tc>
          <w:tcPr>
            <w:tcW w:w="3400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0CFA178">
            <w:pPr>
              <w:spacing w:before="0" w:after="40" w:line="260" w:lineRule="auto"/>
            </w:pPr>
            <w:r>
              <w:rPr>
                <w:rFonts w:ascii="Calibri" w:hAnsi="Calibri" w:eastAsia="微软雅黑"/>
                <w:color w:val="000000"/>
                <w:sz w:val="20"/>
                <w:szCs w:val="20"/>
              </w:rPr>
              <w:t>sqrt(0.375 exp(-2.2t) t^8) sin(6πt), max≈0.2g</w:t>
            </w:r>
          </w:p>
        </w:tc>
        <w:tc>
          <w:tcPr>
            <w:tcW w:w="3660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8B831E0">
            <w:pPr>
              <w:spacing w:before="0" w:after="40" w:line="260" w:lineRule="auto"/>
            </w:pPr>
            <w:r>
              <w:rPr>
                <w:rFonts w:ascii="Calibri" w:hAnsi="Calibri" w:eastAsia="微软雅黑"/>
                <w:color w:val="000000"/>
                <w:sz w:val="20"/>
                <w:szCs w:val="20"/>
              </w:rPr>
              <w:t>积分为底部 x 速度约束</w:t>
            </w:r>
          </w:p>
        </w:tc>
      </w:tr>
      <w:tr w14:paraId="35293241">
        <w:tblPrEx>
          <w:tblBorders>
            <w:top w:val="single" w:color="D0D7DE" w:sz="4" w:space="0"/>
            <w:left w:val="single" w:color="D0D7DE" w:sz="4" w:space="0"/>
            <w:bottom w:val="single" w:color="D0D7DE" w:sz="4" w:space="0"/>
            <w:right w:val="single" w:color="D0D7DE" w:sz="4" w:space="0"/>
            <w:insideH w:val="single" w:color="D0D7DE" w:sz="4" w:space="0"/>
            <w:insideV w:val="single" w:color="D0D7DE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tcPr>
            <w:tcW w:w="2300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E19DD41">
            <w:pPr>
              <w:spacing w:before="0" w:after="40" w:line="260" w:lineRule="auto"/>
            </w:pPr>
            <w:r>
              <w:rPr>
                <w:rFonts w:ascii="Calibri" w:hAnsi="Calibri" w:eastAsia="微软雅黑"/>
                <w:color w:val="000000"/>
                <w:sz w:val="20"/>
                <w:szCs w:val="20"/>
              </w:rPr>
              <w:t>计算时长</w:t>
            </w:r>
          </w:p>
        </w:tc>
        <w:tc>
          <w:tcPr>
            <w:tcW w:w="3400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A48637A">
            <w:pPr>
              <w:spacing w:before="0" w:after="40" w:line="260" w:lineRule="auto"/>
            </w:pPr>
            <w:r>
              <w:rPr>
                <w:rFonts w:ascii="Calibri" w:hAnsi="Calibri" w:eastAsia="微软雅黑"/>
                <w:color w:val="000000"/>
                <w:sz w:val="20"/>
                <w:szCs w:val="20"/>
              </w:rPr>
              <w:t>14 s</w:t>
            </w:r>
          </w:p>
        </w:tc>
        <w:tc>
          <w:tcPr>
            <w:tcW w:w="3660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EB5C14A">
            <w:pPr>
              <w:spacing w:before="0" w:after="40" w:line="260" w:lineRule="auto"/>
            </w:pPr>
            <w:r>
              <w:rPr>
                <w:rFonts w:ascii="Calibri" w:hAnsi="Calibri" w:eastAsia="微软雅黑"/>
                <w:color w:val="000000"/>
                <w:sz w:val="20"/>
                <w:szCs w:val="20"/>
              </w:rPr>
              <w:t>FULL_TIME=14.0</w:t>
            </w:r>
          </w:p>
        </w:tc>
      </w:tr>
      <w:tr w14:paraId="6F49A11B">
        <w:tblPrEx>
          <w:tblBorders>
            <w:top w:val="single" w:color="D0D7DE" w:sz="4" w:space="0"/>
            <w:left w:val="single" w:color="D0D7DE" w:sz="4" w:space="0"/>
            <w:bottom w:val="single" w:color="D0D7DE" w:sz="4" w:space="0"/>
            <w:right w:val="single" w:color="D0D7DE" w:sz="4" w:space="0"/>
            <w:insideH w:val="single" w:color="D0D7DE" w:sz="4" w:space="0"/>
            <w:insideV w:val="single" w:color="D0D7DE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tcPr>
            <w:tcW w:w="2300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701CB15">
            <w:pPr>
              <w:spacing w:before="0" w:after="40" w:line="260" w:lineRule="auto"/>
            </w:pPr>
            <w:r>
              <w:rPr>
                <w:rFonts w:ascii="Calibri" w:hAnsi="Calibri" w:eastAsia="微软雅黑"/>
                <w:color w:val="000000"/>
                <w:sz w:val="20"/>
                <w:szCs w:val="20"/>
              </w:rPr>
              <w:t>阻尼</w:t>
            </w:r>
          </w:p>
        </w:tc>
        <w:tc>
          <w:tcPr>
            <w:tcW w:w="3400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C7A95E0">
            <w:pPr>
              <w:spacing w:before="0" w:after="40" w:line="260" w:lineRule="auto"/>
            </w:pPr>
            <w:r>
              <w:rPr>
                <w:rFonts w:ascii="Calibri" w:hAnsi="Calibri" w:eastAsia="微软雅黑"/>
                <w:color w:val="000000"/>
                <w:sz w:val="20"/>
                <w:szCs w:val="20"/>
              </w:rPr>
              <w:t>Rayleigh damping 0.1, center frequency 3.0</w:t>
            </w:r>
          </w:p>
        </w:tc>
        <w:tc>
          <w:tcPr>
            <w:tcW w:w="3660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4117FD8">
            <w:pPr>
              <w:spacing w:before="0" w:after="40" w:line="260" w:lineRule="auto"/>
            </w:pPr>
            <w:r>
              <w:rPr>
                <w:rFonts w:ascii="Calibri" w:hAnsi="Calibri" w:eastAsia="微软雅黑"/>
                <w:color w:val="000000"/>
                <w:sz w:val="20"/>
                <w:szCs w:val="20"/>
              </w:rPr>
              <w:t>报告列为差异项；脚本未强制等价</w:t>
            </w:r>
          </w:p>
        </w:tc>
      </w:tr>
    </w:tbl>
    <w:p w14:paraId="5C4F88ED">
      <w:pPr>
        <w:pStyle w:val="2"/>
        <w:spacing w:before="320" w:after="160" w:line="264" w:lineRule="auto"/>
      </w:pPr>
      <w:r>
        <w:rPr>
          <w:rFonts w:ascii="Calibri" w:hAnsi="Calibri" w:eastAsia="微软雅黑"/>
          <w:color w:val="000000"/>
          <w:sz w:val="22"/>
          <w:szCs w:val="22"/>
        </w:rPr>
        <w:t>3. Figure 3.49 完整复现对比</w:t>
      </w:r>
    </w:p>
    <w:p w14:paraId="69EDCA0C">
      <w:pPr>
        <w:spacing w:before="0" w:after="120" w:line="264" w:lineRule="auto"/>
      </w:pPr>
      <w:r>
        <w:rPr>
          <w:rFonts w:ascii="Calibri" w:hAnsi="Calibri" w:eastAsia="微软雅黑"/>
          <w:color w:val="000000"/>
          <w:sz w:val="22"/>
          <w:szCs w:val="22"/>
        </w:rPr>
        <w:t>PIPLE.py 输出的输入加速度与 FLAC3D 手册公式逐点一致。最大绝对误差为 2.22044604925e-16 g，RMS 误差为 3.18991957595e-17 g。误差量级来自浮点计算舍入，可视为完全复现 Figure 3.49 输入加速度曲线。</w:t>
      </w:r>
    </w:p>
    <w:p w14:paraId="42CB8075">
      <w:pPr>
        <w:spacing w:before="80" w:after="80"/>
        <w:jc w:val="center"/>
      </w:pPr>
      <w:r>
        <w:drawing>
          <wp:inline distT="0" distB="0" distL="0" distR="0">
            <wp:extent cx="5715000" cy="2964180"/>
            <wp:effectExtent l="0" t="0" r="0" b="7620"/>
            <wp:docPr id="1" name="result fig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result figure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2964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6F1F42">
      <w:pPr>
        <w:spacing w:before="40" w:after="180" w:line="250" w:lineRule="auto"/>
        <w:jc w:val="center"/>
      </w:pPr>
      <w:r>
        <w:rPr>
          <w:rFonts w:ascii="Calibri" w:hAnsi="Calibri" w:eastAsia="微软雅黑"/>
          <w:i/>
          <w:iCs/>
          <w:color w:val="555555"/>
          <w:sz w:val="18"/>
          <w:szCs w:val="18"/>
        </w:rPr>
        <w:t>图 1  FLAC3D 手册公式与 PIPLE.py 生成的 Figure 3.49 输入加速度曲线对比。</w:t>
      </w:r>
    </w:p>
    <w:p w14:paraId="510AB745">
      <w:pPr>
        <w:spacing w:before="80" w:after="80"/>
        <w:jc w:val="center"/>
      </w:pPr>
      <w:r>
        <w:drawing>
          <wp:inline distT="0" distB="0" distL="0" distR="0">
            <wp:extent cx="5715000" cy="2312670"/>
            <wp:effectExtent l="0" t="0" r="0" b="11430"/>
            <wp:docPr id="2" name="result fig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result figure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23129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6174ED">
      <w:pPr>
        <w:spacing w:before="40" w:after="180" w:line="250" w:lineRule="auto"/>
        <w:jc w:val="center"/>
      </w:pPr>
      <w:r>
        <w:rPr>
          <w:rFonts w:ascii="Calibri" w:hAnsi="Calibri" w:eastAsia="微软雅黑"/>
          <w:i/>
          <w:iCs/>
          <w:color w:val="555555"/>
          <w:sz w:val="18"/>
          <w:szCs w:val="18"/>
        </w:rPr>
        <w:t>图 2  Figure 3.49 输入加速度复现误差，误差为机器精度量级。</w:t>
      </w:r>
    </w:p>
    <w:p w14:paraId="652FF3CC">
      <w:pPr>
        <w:spacing w:before="80" w:after="80"/>
        <w:jc w:val="center"/>
      </w:pPr>
      <w:r>
        <w:drawing>
          <wp:inline distT="0" distB="0" distL="0" distR="0">
            <wp:extent cx="5715000" cy="3691255"/>
            <wp:effectExtent l="0" t="0" r="0" b="4445"/>
            <wp:docPr id="3" name="result fig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result figure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6915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DF864C">
      <w:pPr>
        <w:spacing w:before="40" w:after="180" w:line="250" w:lineRule="auto"/>
        <w:jc w:val="center"/>
      </w:pPr>
      <w:r>
        <w:rPr>
          <w:rFonts w:ascii="Calibri" w:hAnsi="Calibri" w:eastAsia="微软雅黑"/>
          <w:i/>
          <w:iCs/>
          <w:color w:val="555555"/>
          <w:sz w:val="18"/>
          <w:szCs w:val="18"/>
        </w:rPr>
        <w:t>图 3  由 Figure 3.49 加速度积分得到的底部速度和位移历史。</w:t>
      </w:r>
    </w:p>
    <w:p w14:paraId="70D6251F">
      <w:pPr>
        <w:spacing w:before="80" w:after="80"/>
        <w:jc w:val="center"/>
      </w:pPr>
      <w:r>
        <w:drawing>
          <wp:inline distT="0" distB="0" distL="0" distR="0">
            <wp:extent cx="5166360" cy="3874770"/>
            <wp:effectExtent l="0" t="0" r="15240" b="11430"/>
            <wp:docPr id="4" name="result fig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result figure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166360" cy="3874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8F7FF5">
      <w:pPr>
        <w:spacing w:before="40" w:after="180" w:line="250" w:lineRule="auto"/>
        <w:jc w:val="center"/>
      </w:pPr>
      <w:r>
        <w:rPr>
          <w:rFonts w:ascii="Calibri" w:hAnsi="Calibri" w:eastAsia="微软雅黑"/>
          <w:i/>
          <w:iCs/>
          <w:color w:val="555555"/>
          <w:sz w:val="18"/>
          <w:szCs w:val="18"/>
        </w:rPr>
        <w:t>图 4  FLAC3D 手册层状线弹性土柱参数到 PIPLE.py 的映射。</w:t>
      </w:r>
    </w:p>
    <w:p w14:paraId="15D3BB2A">
      <w:pPr>
        <w:pStyle w:val="2"/>
        <w:spacing w:before="320" w:after="160" w:line="264" w:lineRule="auto"/>
      </w:pPr>
      <w:r>
        <w:rPr>
          <w:rFonts w:ascii="Calibri" w:hAnsi="Calibri" w:eastAsia="微软雅黑"/>
          <w:color w:val="000000"/>
          <w:sz w:val="22"/>
          <w:szCs w:val="22"/>
        </w:rPr>
        <w:t>4. GeoTaichi 运行结果与适用范围</w:t>
      </w:r>
    </w:p>
    <w:p w14:paraId="479C482E">
      <w:pPr>
        <w:spacing w:before="0" w:after="120" w:line="264" w:lineRule="auto"/>
      </w:pPr>
      <w:r>
        <w:rPr>
          <w:rFonts w:ascii="Calibri" w:hAnsi="Calibri" w:eastAsia="微软雅黑"/>
          <w:color w:val="000000"/>
          <w:sz w:val="22"/>
          <w:szCs w:val="22"/>
        </w:rPr>
        <w:t>本轮已使用 Anaconda env_rec 环境运行完整 14 s PIPLE.py，生成 base_motion.csv、histories.csv 和 validation_summary.txt。Figure 3.49 本身是底部输入加速度图，因此完整复现判据是 PIPLE.py 输出的 base_motion.csv 与 FLAC3D 手册公式一致。</w:t>
      </w:r>
    </w:p>
    <w:p w14:paraId="09A1F968">
      <w:pPr>
        <w:spacing w:before="80" w:after="80"/>
        <w:jc w:val="center"/>
      </w:pPr>
      <w:r>
        <w:drawing>
          <wp:inline distT="0" distB="0" distL="0" distR="0">
            <wp:extent cx="5715000" cy="2964180"/>
            <wp:effectExtent l="0" t="0" r="0" b="7620"/>
            <wp:docPr id="5" name="result fig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result figure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2964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B8A355">
      <w:pPr>
        <w:spacing w:before="40" w:after="180" w:line="250" w:lineRule="auto"/>
        <w:jc w:val="center"/>
      </w:pPr>
      <w:r>
        <w:rPr>
          <w:rFonts w:ascii="Calibri" w:hAnsi="Calibri" w:eastAsia="微软雅黑"/>
          <w:i/>
          <w:iCs/>
          <w:color w:val="555555"/>
          <w:sz w:val="18"/>
          <w:szCs w:val="18"/>
        </w:rPr>
        <w:t>图 5  GeoTaichi 完整运行诊断历史：输入加速度、底部运动输入和顶部速度诊断。</w:t>
      </w:r>
    </w:p>
    <w:p w14:paraId="15AADEEB">
      <w:pPr>
        <w:spacing w:before="0" w:after="120" w:line="264" w:lineRule="auto"/>
      </w:pPr>
      <w:r>
        <w:rPr>
          <w:rFonts w:ascii="Calibri" w:hAnsi="Calibri" w:eastAsia="微软雅黑"/>
          <w:color w:val="000000"/>
          <w:sz w:val="22"/>
          <w:szCs w:val="22"/>
        </w:rPr>
        <w:t>GeoTaichi 直接模型可稳定运行，但其通用速度边界无法命令级复现 FLAC3D quiet/free-field 动力边界。为避免把零响应或边界伪响应误判为复现结果，报告将完整响应对比基于同一 PIPLE.py 中的一维等效层状剪切梁求解器。</w:t>
      </w:r>
    </w:p>
    <w:p w14:paraId="27B4D467">
      <w:pPr>
        <w:pStyle w:val="2"/>
        <w:spacing w:before="320" w:after="160" w:line="264" w:lineRule="auto"/>
      </w:pPr>
      <w:r>
        <w:rPr>
          <w:rFonts w:ascii="Calibri" w:hAnsi="Calibri" w:eastAsia="微软雅黑"/>
          <w:color w:val="000000"/>
          <w:sz w:val="22"/>
          <w:szCs w:val="22"/>
        </w:rPr>
        <w:t>5. 完整动力响应结果</w:t>
      </w:r>
      <w:bookmarkStart w:id="0" w:name="_GoBack"/>
      <w:bookmarkEnd w:id="0"/>
    </w:p>
    <w:p w14:paraId="36ABDEDD">
      <w:pPr>
        <w:spacing w:before="0" w:after="120" w:line="264" w:lineRule="auto"/>
      </w:pPr>
      <w:r>
        <w:rPr>
          <w:rFonts w:ascii="Calibri" w:hAnsi="Calibri" w:eastAsia="微软雅黑"/>
          <w:color w:val="000000"/>
          <w:sz w:val="22"/>
          <w:szCs w:val="22"/>
        </w:rPr>
        <w:t>等效一维求解器采用 16 个 10 ft 单元、两种线弹性材料、自由顶面、底部 Figure 3.49 输入位移，以及 Rayleigh 阻尼近似。顶部加速度范围为 [-1.59398467044, 1.59645486617] g；37 m 附近剪应力范围为 [-277753.740504, 276997.842005] Pa。</w:t>
      </w:r>
    </w:p>
    <w:p w14:paraId="5E2DF4D4">
      <w:pPr>
        <w:spacing w:before="80" w:after="80"/>
        <w:jc w:val="center"/>
      </w:pPr>
      <w:r>
        <w:drawing>
          <wp:inline distT="0" distB="0" distL="0" distR="0">
            <wp:extent cx="5715000" cy="5135880"/>
            <wp:effectExtent l="0" t="0" r="0" b="7620"/>
            <wp:docPr id="6" name="result fig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result figure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1359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BF2D5A">
      <w:pPr>
        <w:spacing w:before="40" w:after="180" w:line="250" w:lineRule="auto"/>
        <w:jc w:val="center"/>
      </w:pPr>
      <w:r>
        <w:rPr>
          <w:rFonts w:ascii="Calibri" w:hAnsi="Calibri" w:eastAsia="微软雅黑"/>
          <w:i/>
          <w:iCs/>
          <w:color w:val="555555"/>
          <w:sz w:val="18"/>
          <w:szCs w:val="18"/>
        </w:rPr>
        <w:t>图 6  当前代码条件下的等效一维完整动力响应：输入/顶部加速度、速度和剪应力历史。</w:t>
      </w:r>
    </w:p>
    <w:p w14:paraId="309A1B76">
      <w:pPr>
        <w:spacing w:before="80" w:after="80"/>
        <w:jc w:val="center"/>
      </w:pPr>
      <w:r>
        <w:drawing>
          <wp:inline distT="0" distB="0" distL="0" distR="0">
            <wp:extent cx="5257800" cy="4004310"/>
            <wp:effectExtent l="0" t="0" r="0" b="15240"/>
            <wp:docPr id="7" name="result fig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result figure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40049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99CEC1">
      <w:pPr>
        <w:spacing w:before="40" w:after="180" w:line="250" w:lineRule="auto"/>
        <w:jc w:val="center"/>
      </w:pPr>
      <w:r>
        <w:rPr>
          <w:rFonts w:ascii="Calibri" w:hAnsi="Calibri" w:eastAsia="微软雅黑"/>
          <w:i/>
          <w:iCs/>
          <w:color w:val="555555"/>
          <w:sz w:val="18"/>
          <w:szCs w:val="18"/>
        </w:rPr>
        <w:t>图 7  37 m 附近的等效一维剪应力-剪应变响应。</w:t>
      </w:r>
    </w:p>
    <w:p w14:paraId="1CBB81E3">
      <w:pPr>
        <w:spacing w:before="0" w:after="120" w:line="264" w:lineRule="auto"/>
      </w:pPr>
      <w:r>
        <w:rPr>
          <w:rFonts w:ascii="Calibri" w:hAnsi="Calibri" w:eastAsia="微软雅黑"/>
          <w:color w:val="000000"/>
          <w:sz w:val="22"/>
          <w:szCs w:val="22"/>
        </w:rPr>
        <w:t>该结果是“当前代码条件下尽量完整”的动力响应复现：它使用 FLAC3D 手册参数和输入，给出传播、放大、阻尼和应力-应变响应；但仍不是 FLAC3D quiet/free-field 边界的命令级完全等价。</w:t>
      </w:r>
    </w:p>
    <w:p w14:paraId="05AF679D">
      <w:pPr>
        <w:pStyle w:val="2"/>
        <w:spacing w:before="320" w:after="160" w:line="264" w:lineRule="auto"/>
      </w:pPr>
      <w:r>
        <w:rPr>
          <w:rFonts w:ascii="Calibri" w:hAnsi="Calibri" w:eastAsia="微软雅黑"/>
          <w:color w:val="000000"/>
          <w:sz w:val="22"/>
          <w:szCs w:val="22"/>
        </w:rPr>
        <w:t>6. 文件清单</w:t>
      </w:r>
    </w:p>
    <w:tbl>
      <w:tblPr>
        <w:tblStyle w:val="4"/>
        <w:tblW w:w="9360" w:type="dxa"/>
        <w:tblInd w:w="120" w:type="dxa"/>
        <w:tblBorders>
          <w:top w:val="single" w:color="D0D7DE" w:sz="4" w:space="0"/>
          <w:left w:val="single" w:color="D0D7DE" w:sz="4" w:space="0"/>
          <w:bottom w:val="single" w:color="D0D7DE" w:sz="4" w:space="0"/>
          <w:right w:val="single" w:color="D0D7DE" w:sz="4" w:space="0"/>
          <w:insideH w:val="single" w:color="D0D7DE" w:sz="4" w:space="0"/>
          <w:insideV w:val="single" w:color="D0D7DE" w:sz="4" w:space="0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3400"/>
        <w:gridCol w:w="5960"/>
      </w:tblGrid>
      <w:tr w14:paraId="62E472DC">
        <w:tblPrEx>
          <w:tblBorders>
            <w:top w:val="single" w:color="D0D7DE" w:sz="4" w:space="0"/>
            <w:left w:val="single" w:color="D0D7DE" w:sz="4" w:space="0"/>
            <w:bottom w:val="single" w:color="D0D7DE" w:sz="4" w:space="0"/>
            <w:right w:val="single" w:color="D0D7DE" w:sz="4" w:space="0"/>
            <w:insideH w:val="single" w:color="D0D7DE" w:sz="4" w:space="0"/>
            <w:insideV w:val="single" w:color="D0D7DE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tcPr>
            <w:tcW w:w="3400" w:type="dxa"/>
            <w:shd w:val="clear" w:color="auto" w:fill="F2F4F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22E78FC">
            <w:pPr>
              <w:spacing w:before="0" w:after="40" w:line="260" w:lineRule="auto"/>
            </w:pPr>
            <w:r>
              <w:rPr>
                <w:rFonts w:ascii="Calibri" w:hAnsi="Calibri" w:eastAsia="微软雅黑"/>
                <w:b/>
                <w:bCs/>
                <w:color w:val="0B2545"/>
                <w:sz w:val="21"/>
                <w:szCs w:val="21"/>
              </w:rPr>
              <w:t>文件</w:t>
            </w:r>
          </w:p>
        </w:tc>
        <w:tc>
          <w:tcPr>
            <w:tcW w:w="5960" w:type="dxa"/>
            <w:shd w:val="clear" w:color="auto" w:fill="F2F4F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176171E">
            <w:pPr>
              <w:spacing w:before="0" w:after="40" w:line="260" w:lineRule="auto"/>
            </w:pPr>
            <w:r>
              <w:rPr>
                <w:rFonts w:ascii="Calibri" w:hAnsi="Calibri" w:eastAsia="微软雅黑"/>
                <w:b/>
                <w:bCs/>
                <w:color w:val="0B2545"/>
                <w:sz w:val="21"/>
                <w:szCs w:val="21"/>
              </w:rPr>
              <w:t>用途</w:t>
            </w:r>
          </w:p>
        </w:tc>
      </w:tr>
      <w:tr w14:paraId="160E60CB">
        <w:tblPrEx>
          <w:tblBorders>
            <w:top w:val="single" w:color="D0D7DE" w:sz="4" w:space="0"/>
            <w:left w:val="single" w:color="D0D7DE" w:sz="4" w:space="0"/>
            <w:bottom w:val="single" w:color="D0D7DE" w:sz="4" w:space="0"/>
            <w:right w:val="single" w:color="D0D7DE" w:sz="4" w:space="0"/>
            <w:insideH w:val="single" w:color="D0D7DE" w:sz="4" w:space="0"/>
            <w:insideV w:val="single" w:color="D0D7DE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tcPr>
            <w:tcW w:w="3400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E8D51CA">
            <w:pPr>
              <w:spacing w:before="0" w:after="40" w:line="260" w:lineRule="auto"/>
            </w:pPr>
            <w:r>
              <w:rPr>
                <w:rFonts w:ascii="Calibri" w:hAnsi="Calibri" w:eastAsia="微软雅黑"/>
                <w:color w:val="000000"/>
                <w:sz w:val="20"/>
                <w:szCs w:val="20"/>
              </w:rPr>
              <w:t>PIPLE.py</w:t>
            </w:r>
          </w:p>
        </w:tc>
        <w:tc>
          <w:tcPr>
            <w:tcW w:w="5960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4FE1DD9">
            <w:pPr>
              <w:spacing w:before="0" w:after="40" w:line="260" w:lineRule="auto"/>
            </w:pPr>
            <w:r>
              <w:rPr>
                <w:rFonts w:ascii="Calibri" w:hAnsi="Calibri" w:eastAsia="微软雅黑"/>
                <w:color w:val="000000"/>
                <w:sz w:val="20"/>
                <w:szCs w:val="20"/>
              </w:rPr>
              <w:t>FLAC3D Figure 3.49 参数复现脚本</w:t>
            </w:r>
          </w:p>
        </w:tc>
      </w:tr>
      <w:tr w14:paraId="73FBB539">
        <w:tblPrEx>
          <w:tblBorders>
            <w:top w:val="single" w:color="D0D7DE" w:sz="4" w:space="0"/>
            <w:left w:val="single" w:color="D0D7DE" w:sz="4" w:space="0"/>
            <w:bottom w:val="single" w:color="D0D7DE" w:sz="4" w:space="0"/>
            <w:right w:val="single" w:color="D0D7DE" w:sz="4" w:space="0"/>
            <w:insideH w:val="single" w:color="D0D7DE" w:sz="4" w:space="0"/>
            <w:insideV w:val="single" w:color="D0D7DE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tcPr>
            <w:tcW w:w="3400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7734194">
            <w:pPr>
              <w:spacing w:before="0" w:after="40" w:line="260" w:lineRule="auto"/>
            </w:pPr>
            <w:r>
              <w:rPr>
                <w:rFonts w:ascii="Calibri" w:hAnsi="Calibri" w:eastAsia="微软雅黑"/>
                <w:color w:val="000000"/>
                <w:sz w:val="20"/>
                <w:szCs w:val="20"/>
              </w:rPr>
              <w:t>flac3d_figure_349_input_motion.csv</w:t>
            </w:r>
          </w:p>
        </w:tc>
        <w:tc>
          <w:tcPr>
            <w:tcW w:w="5960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AB5C554">
            <w:pPr>
              <w:spacing w:before="0" w:after="40" w:line="260" w:lineRule="auto"/>
            </w:pPr>
            <w:r>
              <w:rPr>
                <w:rFonts w:ascii="Calibri" w:hAnsi="Calibri" w:eastAsia="微软雅黑"/>
                <w:color w:val="000000"/>
                <w:sz w:val="20"/>
                <w:szCs w:val="20"/>
              </w:rPr>
              <w:t>按手册公式生成的输入加速度、速度和位移历史</w:t>
            </w:r>
          </w:p>
        </w:tc>
      </w:tr>
      <w:tr w14:paraId="7C002A87">
        <w:tblPrEx>
          <w:tblBorders>
            <w:top w:val="single" w:color="D0D7DE" w:sz="4" w:space="0"/>
            <w:left w:val="single" w:color="D0D7DE" w:sz="4" w:space="0"/>
            <w:bottom w:val="single" w:color="D0D7DE" w:sz="4" w:space="0"/>
            <w:right w:val="single" w:color="D0D7DE" w:sz="4" w:space="0"/>
            <w:insideH w:val="single" w:color="D0D7DE" w:sz="4" w:space="0"/>
            <w:insideV w:val="single" w:color="D0D7DE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tcPr>
            <w:tcW w:w="3400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3B515D4">
            <w:pPr>
              <w:spacing w:before="0" w:after="40" w:line="260" w:lineRule="auto"/>
            </w:pPr>
            <w:r>
              <w:rPr>
                <w:rFonts w:ascii="Calibri" w:hAnsi="Calibri" w:eastAsia="微软雅黑"/>
                <w:color w:val="000000"/>
                <w:sz w:val="20"/>
                <w:szCs w:val="20"/>
              </w:rPr>
              <w:t>fig1_manual_vs_piple_figure349_input.png</w:t>
            </w:r>
          </w:p>
        </w:tc>
        <w:tc>
          <w:tcPr>
            <w:tcW w:w="5960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4791525">
            <w:pPr>
              <w:spacing w:before="0" w:after="40" w:line="260" w:lineRule="auto"/>
            </w:pPr>
            <w:r>
              <w:rPr>
                <w:rFonts w:ascii="Calibri" w:hAnsi="Calibri" w:eastAsia="微软雅黑"/>
                <w:color w:val="000000"/>
                <w:sz w:val="20"/>
                <w:szCs w:val="20"/>
              </w:rPr>
              <w:t>手册公式与 PIPLE 输出输入加速度对比图</w:t>
            </w:r>
          </w:p>
        </w:tc>
      </w:tr>
      <w:tr w14:paraId="2469D920">
        <w:tblPrEx>
          <w:tblBorders>
            <w:top w:val="single" w:color="D0D7DE" w:sz="4" w:space="0"/>
            <w:left w:val="single" w:color="D0D7DE" w:sz="4" w:space="0"/>
            <w:bottom w:val="single" w:color="D0D7DE" w:sz="4" w:space="0"/>
            <w:right w:val="single" w:color="D0D7DE" w:sz="4" w:space="0"/>
            <w:insideH w:val="single" w:color="D0D7DE" w:sz="4" w:space="0"/>
            <w:insideV w:val="single" w:color="D0D7DE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tcPr>
            <w:tcW w:w="3400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FFA7883">
            <w:pPr>
              <w:spacing w:before="0" w:after="40" w:line="260" w:lineRule="auto"/>
            </w:pPr>
            <w:r>
              <w:rPr>
                <w:rFonts w:ascii="Calibri" w:hAnsi="Calibri" w:eastAsia="微软雅黑"/>
                <w:color w:val="000000"/>
                <w:sz w:val="20"/>
                <w:szCs w:val="20"/>
              </w:rPr>
              <w:t>fig2_figure349_input_error.png</w:t>
            </w:r>
          </w:p>
        </w:tc>
        <w:tc>
          <w:tcPr>
            <w:tcW w:w="5960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CD985A6">
            <w:pPr>
              <w:spacing w:before="0" w:after="40" w:line="260" w:lineRule="auto"/>
            </w:pPr>
            <w:r>
              <w:rPr>
                <w:rFonts w:ascii="Calibri" w:hAnsi="Calibri" w:eastAsia="微软雅黑"/>
                <w:color w:val="000000"/>
                <w:sz w:val="20"/>
                <w:szCs w:val="20"/>
              </w:rPr>
              <w:t>输入加速度复现误差图</w:t>
            </w:r>
          </w:p>
        </w:tc>
      </w:tr>
      <w:tr w14:paraId="2BFF7E2C">
        <w:tblPrEx>
          <w:tblBorders>
            <w:top w:val="single" w:color="D0D7DE" w:sz="4" w:space="0"/>
            <w:left w:val="single" w:color="D0D7DE" w:sz="4" w:space="0"/>
            <w:bottom w:val="single" w:color="D0D7DE" w:sz="4" w:space="0"/>
            <w:right w:val="single" w:color="D0D7DE" w:sz="4" w:space="0"/>
            <w:insideH w:val="single" w:color="D0D7DE" w:sz="4" w:space="0"/>
            <w:insideV w:val="single" w:color="D0D7DE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tcPr>
            <w:tcW w:w="3400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2F59103">
            <w:pPr>
              <w:spacing w:before="0" w:after="40" w:line="260" w:lineRule="auto"/>
            </w:pPr>
            <w:r>
              <w:rPr>
                <w:rFonts w:ascii="Calibri" w:hAnsi="Calibri" w:eastAsia="微软雅黑"/>
                <w:color w:val="000000"/>
                <w:sz w:val="20"/>
                <w:szCs w:val="20"/>
              </w:rPr>
              <w:t>fig3_integrated_boundary_histories.png</w:t>
            </w:r>
          </w:p>
        </w:tc>
        <w:tc>
          <w:tcPr>
            <w:tcW w:w="5960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B7F9FC7">
            <w:pPr>
              <w:spacing w:before="0" w:after="40" w:line="260" w:lineRule="auto"/>
            </w:pPr>
            <w:r>
              <w:rPr>
                <w:rFonts w:ascii="Calibri" w:hAnsi="Calibri" w:eastAsia="微软雅黑"/>
                <w:color w:val="000000"/>
                <w:sz w:val="20"/>
                <w:szCs w:val="20"/>
              </w:rPr>
              <w:t>积分速度/位移图</w:t>
            </w:r>
          </w:p>
        </w:tc>
      </w:tr>
      <w:tr w14:paraId="0A2C4989">
        <w:tblPrEx>
          <w:tblBorders>
            <w:top w:val="single" w:color="D0D7DE" w:sz="4" w:space="0"/>
            <w:left w:val="single" w:color="D0D7DE" w:sz="4" w:space="0"/>
            <w:bottom w:val="single" w:color="D0D7DE" w:sz="4" w:space="0"/>
            <w:right w:val="single" w:color="D0D7DE" w:sz="4" w:space="0"/>
            <w:insideH w:val="single" w:color="D0D7DE" w:sz="4" w:space="0"/>
            <w:insideV w:val="single" w:color="D0D7DE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tcPr>
            <w:tcW w:w="3400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DCCFE63">
            <w:pPr>
              <w:spacing w:before="0" w:after="40" w:line="260" w:lineRule="auto"/>
            </w:pPr>
            <w:r>
              <w:rPr>
                <w:rFonts w:ascii="Calibri" w:hAnsi="Calibri" w:eastAsia="微软雅黑"/>
                <w:color w:val="000000"/>
                <w:sz w:val="20"/>
                <w:szCs w:val="20"/>
              </w:rPr>
              <w:t>fig4_geotaichi_run_diagnostics.png</w:t>
            </w:r>
          </w:p>
        </w:tc>
        <w:tc>
          <w:tcPr>
            <w:tcW w:w="5960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7104A47">
            <w:pPr>
              <w:spacing w:before="0" w:after="40" w:line="260" w:lineRule="auto"/>
            </w:pPr>
            <w:r>
              <w:rPr>
                <w:rFonts w:ascii="Calibri" w:hAnsi="Calibri" w:eastAsia="微软雅黑"/>
                <w:color w:val="000000"/>
                <w:sz w:val="20"/>
                <w:szCs w:val="20"/>
              </w:rPr>
              <w:t>GeoTaichi 完整运行诊断图</w:t>
            </w:r>
          </w:p>
        </w:tc>
      </w:tr>
      <w:tr w14:paraId="6A71372C">
        <w:tblPrEx>
          <w:tblBorders>
            <w:top w:val="single" w:color="D0D7DE" w:sz="4" w:space="0"/>
            <w:left w:val="single" w:color="D0D7DE" w:sz="4" w:space="0"/>
            <w:bottom w:val="single" w:color="D0D7DE" w:sz="4" w:space="0"/>
            <w:right w:val="single" w:color="D0D7DE" w:sz="4" w:space="0"/>
            <w:insideH w:val="single" w:color="D0D7DE" w:sz="4" w:space="0"/>
            <w:insideV w:val="single" w:color="D0D7DE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tcPr>
            <w:tcW w:w="3400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66B5870">
            <w:pPr>
              <w:spacing w:before="0" w:after="40" w:line="260" w:lineRule="auto"/>
            </w:pPr>
            <w:r>
              <w:rPr>
                <w:rFonts w:ascii="Calibri" w:hAnsi="Calibri" w:eastAsia="微软雅黑"/>
                <w:color w:val="000000"/>
                <w:sz w:val="20"/>
                <w:szCs w:val="20"/>
              </w:rPr>
              <w:t>fig5_equivalent_1d_dynamic_histories.png</w:t>
            </w:r>
          </w:p>
        </w:tc>
        <w:tc>
          <w:tcPr>
            <w:tcW w:w="5960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E597FFC">
            <w:pPr>
              <w:spacing w:before="0" w:after="40" w:line="260" w:lineRule="auto"/>
            </w:pPr>
            <w:r>
              <w:rPr>
                <w:rFonts w:ascii="Calibri" w:hAnsi="Calibri" w:eastAsia="微软雅黑"/>
                <w:color w:val="000000"/>
                <w:sz w:val="20"/>
                <w:szCs w:val="20"/>
              </w:rPr>
              <w:t>等效一维完整动力响应历史图</w:t>
            </w:r>
          </w:p>
        </w:tc>
      </w:tr>
      <w:tr w14:paraId="287DE433">
        <w:tblPrEx>
          <w:tblBorders>
            <w:top w:val="single" w:color="D0D7DE" w:sz="4" w:space="0"/>
            <w:left w:val="single" w:color="D0D7DE" w:sz="4" w:space="0"/>
            <w:bottom w:val="single" w:color="D0D7DE" w:sz="4" w:space="0"/>
            <w:right w:val="single" w:color="D0D7DE" w:sz="4" w:space="0"/>
            <w:insideH w:val="single" w:color="D0D7DE" w:sz="4" w:space="0"/>
            <w:insideV w:val="single" w:color="D0D7DE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tcPr>
            <w:tcW w:w="3400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6F50320">
            <w:pPr>
              <w:spacing w:before="0" w:after="40" w:line="260" w:lineRule="auto"/>
            </w:pPr>
            <w:r>
              <w:rPr>
                <w:rFonts w:ascii="Calibri" w:hAnsi="Calibri" w:eastAsia="微软雅黑"/>
                <w:color w:val="000000"/>
                <w:sz w:val="20"/>
                <w:szCs w:val="20"/>
              </w:rPr>
              <w:t>fig6_equivalent_1d_stress_strain.png</w:t>
            </w:r>
          </w:p>
        </w:tc>
        <w:tc>
          <w:tcPr>
            <w:tcW w:w="5960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5305F03">
            <w:pPr>
              <w:spacing w:before="0" w:after="40" w:line="260" w:lineRule="auto"/>
            </w:pPr>
            <w:r>
              <w:rPr>
                <w:rFonts w:ascii="Calibri" w:hAnsi="Calibri" w:eastAsia="微软雅黑"/>
                <w:color w:val="000000"/>
                <w:sz w:val="20"/>
                <w:szCs w:val="20"/>
              </w:rPr>
              <w:t>等效一维剪应力-剪应变图</w:t>
            </w:r>
          </w:p>
        </w:tc>
      </w:tr>
      <w:tr w14:paraId="3B72AC31">
        <w:tblPrEx>
          <w:tblBorders>
            <w:top w:val="single" w:color="D0D7DE" w:sz="4" w:space="0"/>
            <w:left w:val="single" w:color="D0D7DE" w:sz="4" w:space="0"/>
            <w:bottom w:val="single" w:color="D0D7DE" w:sz="4" w:space="0"/>
            <w:right w:val="single" w:color="D0D7DE" w:sz="4" w:space="0"/>
            <w:insideH w:val="single" w:color="D0D7DE" w:sz="4" w:space="0"/>
            <w:insideV w:val="single" w:color="D0D7DE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tcPr>
            <w:tcW w:w="3400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42FB6CA">
            <w:pPr>
              <w:spacing w:before="0" w:after="40" w:line="260" w:lineRule="auto"/>
            </w:pPr>
            <w:r>
              <w:rPr>
                <w:rFonts w:ascii="Calibri" w:hAnsi="Calibri" w:eastAsia="微软雅黑"/>
                <w:color w:val="000000"/>
                <w:sz w:val="20"/>
                <w:szCs w:val="20"/>
              </w:rPr>
              <w:t>fig3_flac3d_layered_model.png</w:t>
            </w:r>
          </w:p>
        </w:tc>
        <w:tc>
          <w:tcPr>
            <w:tcW w:w="5960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3930511">
            <w:pPr>
              <w:spacing w:before="0" w:after="40" w:line="260" w:lineRule="auto"/>
            </w:pPr>
            <w:r>
              <w:rPr>
                <w:rFonts w:ascii="Calibri" w:hAnsi="Calibri" w:eastAsia="微软雅黑"/>
                <w:color w:val="000000"/>
                <w:sz w:val="20"/>
                <w:szCs w:val="20"/>
              </w:rPr>
              <w:t>层状土模型参数映射图</w:t>
            </w:r>
          </w:p>
        </w:tc>
      </w:tr>
      <w:tr w14:paraId="78F74AE1">
        <w:tblPrEx>
          <w:tblBorders>
            <w:top w:val="single" w:color="D0D7DE" w:sz="4" w:space="0"/>
            <w:left w:val="single" w:color="D0D7DE" w:sz="4" w:space="0"/>
            <w:bottom w:val="single" w:color="D0D7DE" w:sz="4" w:space="0"/>
            <w:right w:val="single" w:color="D0D7DE" w:sz="4" w:space="0"/>
            <w:insideH w:val="single" w:color="D0D7DE" w:sz="4" w:space="0"/>
            <w:insideV w:val="single" w:color="D0D7DE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tcPr>
            <w:tcW w:w="3400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3F0F84E">
            <w:pPr>
              <w:spacing w:before="0" w:after="40" w:line="260" w:lineRule="auto"/>
            </w:pPr>
            <w:r>
              <w:rPr>
                <w:rFonts w:ascii="Calibri" w:hAnsi="Calibri" w:eastAsia="微软雅黑"/>
                <w:color w:val="000000"/>
                <w:sz w:val="20"/>
                <w:szCs w:val="20"/>
              </w:rPr>
              <w:t>equivalent_1d_response.csv</w:t>
            </w:r>
          </w:p>
        </w:tc>
        <w:tc>
          <w:tcPr>
            <w:tcW w:w="5960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072322B">
            <w:pPr>
              <w:spacing w:before="0" w:after="40" w:line="260" w:lineRule="auto"/>
            </w:pPr>
            <w:r>
              <w:rPr>
                <w:rFonts w:ascii="Calibri" w:hAnsi="Calibri" w:eastAsia="微软雅黑"/>
                <w:color w:val="000000"/>
                <w:sz w:val="20"/>
                <w:szCs w:val="20"/>
              </w:rPr>
              <w:t>当前代码条件下的等效一维完整动力响应数据</w:t>
            </w:r>
          </w:p>
        </w:tc>
      </w:tr>
      <w:tr w14:paraId="6CCDCD8F">
        <w:tblPrEx>
          <w:tblBorders>
            <w:top w:val="single" w:color="D0D7DE" w:sz="4" w:space="0"/>
            <w:left w:val="single" w:color="D0D7DE" w:sz="4" w:space="0"/>
            <w:bottom w:val="single" w:color="D0D7DE" w:sz="4" w:space="0"/>
            <w:right w:val="single" w:color="D0D7DE" w:sz="4" w:space="0"/>
            <w:insideH w:val="single" w:color="D0D7DE" w:sz="4" w:space="0"/>
            <w:insideV w:val="single" w:color="D0D7DE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tcPr>
            <w:tcW w:w="3400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E19FAFE">
            <w:pPr>
              <w:spacing w:before="0" w:after="40" w:line="260" w:lineRule="auto"/>
            </w:pPr>
            <w:r>
              <w:rPr>
                <w:rFonts w:ascii="Calibri" w:hAnsi="Calibri" w:eastAsia="微软雅黑"/>
                <w:color w:val="000000"/>
                <w:sz w:val="20"/>
                <w:szCs w:val="20"/>
              </w:rPr>
              <w:t>FLAC3D_manual_Figure_3_49_approx_full_dynamic_response_report.docx</w:t>
            </w:r>
          </w:p>
        </w:tc>
        <w:tc>
          <w:tcPr>
            <w:tcW w:w="5960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DA6CC7B">
            <w:pPr>
              <w:spacing w:before="0" w:after="40" w:line="260" w:lineRule="auto"/>
            </w:pPr>
            <w:r>
              <w:rPr>
                <w:rFonts w:ascii="Calibri" w:hAnsi="Calibri" w:eastAsia="微软雅黑"/>
                <w:color w:val="000000"/>
                <w:sz w:val="20"/>
                <w:szCs w:val="20"/>
              </w:rPr>
              <w:t>本 Word 复现报告</w:t>
            </w:r>
          </w:p>
        </w:tc>
      </w:tr>
    </w:tbl>
    <w:p w14:paraId="62FCDCB7"/>
    <w:sectPr>
      <w:pgSz w:w="12240" w:h="15840"/>
      <w:pgMar w:top="1440" w:right="1440" w:bottom="1440" w:left="1440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64" w:lineRule="auto"/>
      </w:pPr>
      <w:r>
        <w:separator/>
      </w:r>
    </w:p>
  </w:footnote>
  <w:footnote w:type="continuationSeparator" w:id="1">
    <w:p>
      <w:pPr>
        <w:spacing w:before="0" w:after="0" w:line="264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documentProtection w:enforcement="0"/>
  <w:footnotePr>
    <w:footnote w:id="0"/>
    <w:footnote w:id="1"/>
  </w:footnotePr>
  <w:endnotePr>
    <w:endnote w:id="0"/>
    <w:endnote w:id="1"/>
  </w:endnotePr>
  <w:compat>
    <w:useFELayout/>
    <w:splitPgBreakAndParaMark/>
    <w:compatSetting w:name="compatibilityMode" w:uri="http://schemas.microsoft.com/office/word" w:val="12"/>
  </w:compat>
  <w:rsids>
    <w:rsidRoot w:val="00000000"/>
    <w:rsid w:val="13161BA4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="微软雅黑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before="0" w:after="120" w:line="264" w:lineRule="auto"/>
    </w:pPr>
    <w:rPr>
      <w:rFonts w:ascii="Calibri" w:hAnsi="Calibri" w:eastAsia="微软雅黑"/>
      <w:sz w:val="22"/>
      <w:szCs w:val="22"/>
    </w:rPr>
  </w:style>
  <w:style w:type="paragraph" w:styleId="2">
    <w:name w:val="heading 1"/>
    <w:basedOn w:val="1"/>
    <w:next w:val="1"/>
    <w:qFormat/>
    <w:uiPriority w:val="0"/>
    <w:pPr>
      <w:keepNext/>
      <w:spacing w:before="320" w:after="160" w:line="264" w:lineRule="auto"/>
      <w:outlineLvl w:val="0"/>
    </w:pPr>
    <w:rPr>
      <w:b/>
      <w:bCs/>
      <w:color w:val="2E74B5"/>
      <w:sz w:val="32"/>
      <w:szCs w:val="32"/>
    </w:rPr>
  </w:style>
  <w:style w:type="paragraph" w:styleId="3">
    <w:name w:val="heading 2"/>
    <w:basedOn w:val="1"/>
    <w:next w:val="1"/>
    <w:qFormat/>
    <w:uiPriority w:val="0"/>
    <w:pPr>
      <w:keepNext/>
      <w:spacing w:before="240" w:after="120" w:line="264" w:lineRule="auto"/>
      <w:outlineLvl w:val="1"/>
    </w:pPr>
    <w:rPr>
      <w:b/>
      <w:bCs/>
      <w:color w:val="2E74B5"/>
      <w:sz w:val="26"/>
      <w:szCs w:val="26"/>
    </w:rPr>
  </w:style>
  <w:style w:type="character" w:default="1" w:styleId="5">
    <w:name w:val="Default Paragraph Font"/>
    <w:semiHidden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3" Type="http://schemas.openxmlformats.org/officeDocument/2006/relationships/fontTable" Target="fontTable.xml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7</Pages>
  <Words>1068</Words>
  <Characters>2258</Characters>
  <TotalTime>1</TotalTime>
  <ScaleCrop>false</ScaleCrop>
  <LinksUpToDate>false</LinksUpToDate>
  <CharactersWithSpaces>2458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2026-06-08T11:01:00Z</dcterms:created>
  <dc:creator>Codex</dc:creator>
  <cp:lastModifiedBy>易斯顿</cp:lastModifiedBy>
  <dcterms:modified xsi:type="dcterms:W3CDTF">2026-06-08T11:06:36Z</dcterms:modified>
  <dc:title>FLAC3D manual approximate full dynamic response report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eyJoZGlkIjoiNzc5ZGJmMzRjYzE0NjBkZDAxMDVlOGNiYzkyMGQ5MjAiLCJ1c2VySWQiOiIxMDUxODMzNDEwIn0=</vt:lpwstr>
  </property>
  <property fmtid="{D5CDD505-2E9C-101B-9397-08002B2CF9AE}" pid="3" name="KSOProductBuildVer">
    <vt:lpwstr>2052-12.1.0.26895</vt:lpwstr>
  </property>
  <property fmtid="{D5CDD505-2E9C-101B-9397-08002B2CF9AE}" pid="4" name="ICV">
    <vt:lpwstr>4F70FE4FA580481CA2A6DF5ACE5E3C85_12</vt:lpwstr>
  </property>
</Properties>
</file>