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F3A7A2">
      <w:pPr>
        <w:spacing w:before="0" w:after="80" w:line="264" w:lineRule="auto"/>
        <w:jc w:val="center"/>
      </w:pPr>
      <w:r>
        <w:rPr>
          <w:rFonts w:ascii="Calibri" w:hAnsi="Calibri" w:eastAsia="微软雅黑"/>
          <w:b/>
          <w:bCs/>
          <w:color w:val="0B2545"/>
          <w:sz w:val="34"/>
          <w:szCs w:val="34"/>
        </w:rPr>
        <w:t>FLAC3D Figure 3.49 地震输入算例的 GeoTaichi MPM 复现报告</w:t>
      </w:r>
    </w:p>
    <w:p w14:paraId="3FEE693E">
      <w:pPr>
        <w:pBdr>
          <w:bottom w:val="single" w:color="2E74B5" w:sz="8" w:space="3"/>
        </w:pBdr>
        <w:spacing w:after="260"/>
      </w:pPr>
      <w:bookmarkStart w:id="0" w:name="_GoBack"/>
      <w:bookmarkEnd w:id="0"/>
    </w:p>
    <w:p w14:paraId="0EA1BD9A">
      <w:pPr>
        <w:pStyle w:val="2"/>
        <w:spacing w:before="320" w:after="160" w:line="264" w:lineRule="auto"/>
      </w:pPr>
      <w:r>
        <w:rPr>
          <w:rFonts w:ascii="Calibri" w:hAnsi="Calibri" w:eastAsia="微软雅黑"/>
          <w:color w:val="000000"/>
          <w:sz w:val="22"/>
          <w:szCs w:val="22"/>
        </w:rPr>
        <w:t>1. 复现目标</w:t>
      </w:r>
    </w:p>
    <w:p w14:paraId="08BBC38D">
      <w:pPr>
        <w:spacing w:before="0" w:after="120" w:line="264" w:lineRule="auto"/>
      </w:pPr>
      <w:r>
        <w:rPr>
          <w:rFonts w:ascii="Calibri" w:hAnsi="Calibri" w:eastAsia="微软雅黑"/>
          <w:color w:val="000000"/>
          <w:sz w:val="22"/>
          <w:szCs w:val="22"/>
        </w:rPr>
        <w:t>本报告说明 PIPLE.py 对 FLAC3D 文档中 Figure 3.49 “Input acceleration at bottom of model” 的复现方式。该图给出模型底部的水平输入加速度时程；在 GeoTaichi MPM 中，脚本将该加速度积分为底部水平速度约束，并输出底部、中部和自由表面的动力响应。</w:t>
      </w:r>
    </w:p>
    <w:p w14:paraId="3FDEAEE2">
      <w:pPr>
        <w:spacing w:before="0" w:after="120" w:line="264" w:lineRule="auto"/>
      </w:pPr>
      <w:r>
        <w:rPr>
          <w:rFonts w:ascii="Calibri" w:hAnsi="Calibri" w:eastAsia="微软雅黑"/>
          <w:color w:val="000000"/>
          <w:sz w:val="22"/>
          <w:szCs w:val="22"/>
        </w:rPr>
        <w:t>当前报告复用 code/results/flac3d_earthquake_mpm 中已有的计算结果图与 CSV 数据。由于本环境没有可用 python/py 命令，本轮没有重新运行 PIPLE.py；报告中的图形对应已有结果文件。</w:t>
      </w:r>
    </w:p>
    <w:p w14:paraId="4DF00DB5">
      <w:pPr>
        <w:pStyle w:val="2"/>
        <w:spacing w:before="320" w:after="160" w:line="264" w:lineRule="auto"/>
      </w:pPr>
      <w:r>
        <w:rPr>
          <w:rFonts w:ascii="Calibri" w:hAnsi="Calibri" w:eastAsia="微软雅黑"/>
          <w:color w:val="000000"/>
          <w:sz w:val="22"/>
          <w:szCs w:val="22"/>
        </w:rPr>
        <w:t>2. 关键设置</w:t>
      </w:r>
    </w:p>
    <w:tbl>
      <w:tblPr>
        <w:tblStyle w:val="5"/>
        <w:tblW w:w="9360" w:type="dxa"/>
        <w:tblInd w:w="120" w:type="dxa"/>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Layout w:type="fixed"/>
        <w:tblCellMar>
          <w:top w:w="80" w:type="dxa"/>
          <w:left w:w="120" w:type="dxa"/>
          <w:bottom w:w="80" w:type="dxa"/>
          <w:right w:w="120" w:type="dxa"/>
        </w:tblCellMar>
      </w:tblPr>
      <w:tblGrid>
        <w:gridCol w:w="2100"/>
        <w:gridCol w:w="3100"/>
        <w:gridCol w:w="4160"/>
        <w:gridCol w:w="360"/>
      </w:tblGrid>
      <w:tr w14:paraId="79E57A6C">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rPr>
          <w:gridAfter w:val="1"/>
        </w:trPr>
        <w:tc>
          <w:tcPr>
            <w:tcW w:w="2100" w:type="dxa"/>
            <w:shd w:val="clear" w:color="auto" w:fill="F2F4F7"/>
            <w:tcMar>
              <w:top w:w="100" w:type="dxa"/>
              <w:left w:w="140" w:type="dxa"/>
              <w:bottom w:w="100" w:type="dxa"/>
              <w:right w:w="140" w:type="dxa"/>
            </w:tcMar>
            <w:vAlign w:val="center"/>
          </w:tcPr>
          <w:p w14:paraId="2D79F5FB">
            <w:pPr>
              <w:spacing w:before="0" w:after="40" w:line="260" w:lineRule="auto"/>
            </w:pPr>
            <w:r>
              <w:rPr>
                <w:rFonts w:ascii="Calibri" w:hAnsi="Calibri" w:eastAsia="微软雅黑"/>
                <w:b/>
                <w:bCs/>
                <w:color w:val="0B2545"/>
                <w:sz w:val="21"/>
                <w:szCs w:val="21"/>
              </w:rPr>
              <w:t>项目</w:t>
            </w:r>
          </w:p>
        </w:tc>
        <w:tc>
          <w:tcPr>
            <w:tcW w:w="3100" w:type="dxa"/>
            <w:shd w:val="clear" w:color="auto" w:fill="F2F4F7"/>
            <w:tcMar>
              <w:top w:w="100" w:type="dxa"/>
              <w:left w:w="140" w:type="dxa"/>
              <w:bottom w:w="100" w:type="dxa"/>
              <w:right w:w="140" w:type="dxa"/>
            </w:tcMar>
            <w:vAlign w:val="center"/>
          </w:tcPr>
          <w:p w14:paraId="5288947A">
            <w:pPr>
              <w:spacing w:before="0" w:after="40" w:line="260" w:lineRule="auto"/>
            </w:pPr>
            <w:r>
              <w:rPr>
                <w:rFonts w:ascii="Calibri" w:hAnsi="Calibri" w:eastAsia="微软雅黑"/>
                <w:b/>
                <w:bCs/>
                <w:color w:val="0B2545"/>
                <w:sz w:val="21"/>
                <w:szCs w:val="21"/>
              </w:rPr>
              <w:t>数值 / 文件</w:t>
            </w:r>
          </w:p>
        </w:tc>
        <w:tc>
          <w:tcPr>
            <w:tcW w:w="4160" w:type="dxa"/>
            <w:shd w:val="clear" w:color="auto" w:fill="F2F4F7"/>
            <w:tcMar>
              <w:top w:w="100" w:type="dxa"/>
              <w:left w:w="140" w:type="dxa"/>
              <w:bottom w:w="100" w:type="dxa"/>
              <w:right w:w="140" w:type="dxa"/>
            </w:tcMar>
            <w:vAlign w:val="center"/>
          </w:tcPr>
          <w:p w14:paraId="123C3C59">
            <w:pPr>
              <w:spacing w:before="0" w:after="40" w:line="260" w:lineRule="auto"/>
            </w:pPr>
            <w:r>
              <w:rPr>
                <w:rFonts w:ascii="Calibri" w:hAnsi="Calibri" w:eastAsia="微软雅黑"/>
                <w:b/>
                <w:bCs/>
                <w:color w:val="0B2545"/>
                <w:sz w:val="21"/>
                <w:szCs w:val="21"/>
              </w:rPr>
              <w:t>说明</w:t>
            </w:r>
          </w:p>
        </w:tc>
      </w:tr>
      <w:tr w14:paraId="5C66CE11">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rPr>
          <w:gridAfter w:val="1"/>
        </w:trPr>
        <w:tc>
          <w:tcPr>
            <w:tcW w:w="2100" w:type="dxa"/>
            <w:tcMar>
              <w:top w:w="100" w:type="dxa"/>
              <w:left w:w="140" w:type="dxa"/>
              <w:bottom w:w="100" w:type="dxa"/>
              <w:right w:w="140" w:type="dxa"/>
            </w:tcMar>
            <w:vAlign w:val="center"/>
          </w:tcPr>
          <w:p w14:paraId="2D8CFD34">
            <w:pPr>
              <w:spacing w:before="0" w:after="40" w:line="260" w:lineRule="auto"/>
            </w:pPr>
            <w:r>
              <w:rPr>
                <w:rFonts w:ascii="Calibri" w:hAnsi="Calibri" w:eastAsia="微软雅黑"/>
                <w:color w:val="000000"/>
                <w:sz w:val="20"/>
                <w:szCs w:val="20"/>
              </w:rPr>
              <w:t>源文档</w:t>
            </w:r>
          </w:p>
        </w:tc>
        <w:tc>
          <w:tcPr>
            <w:tcW w:w="3100" w:type="dxa"/>
            <w:tcMar>
              <w:top w:w="100" w:type="dxa"/>
              <w:left w:w="140" w:type="dxa"/>
              <w:bottom w:w="100" w:type="dxa"/>
              <w:right w:w="140" w:type="dxa"/>
            </w:tcMar>
            <w:vAlign w:val="center"/>
          </w:tcPr>
          <w:p w14:paraId="4EF30962">
            <w:pPr>
              <w:spacing w:before="0" w:after="40" w:line="260" w:lineRule="auto"/>
            </w:pPr>
            <w:r>
              <w:rPr>
                <w:rFonts w:ascii="Calibri" w:hAnsi="Calibri" w:eastAsia="微软雅黑"/>
                <w:color w:val="000000"/>
                <w:sz w:val="20"/>
                <w:szCs w:val="20"/>
              </w:rPr>
              <w:t>C:\Users\Dell\Desktop\lizhi.pdf</w:t>
            </w:r>
          </w:p>
        </w:tc>
        <w:tc>
          <w:tcPr>
            <w:tcW w:w="4160" w:type="dxa"/>
            <w:tcMar>
              <w:top w:w="100" w:type="dxa"/>
              <w:left w:w="140" w:type="dxa"/>
              <w:bottom w:w="100" w:type="dxa"/>
              <w:right w:w="140" w:type="dxa"/>
            </w:tcMar>
            <w:vAlign w:val="center"/>
          </w:tcPr>
          <w:p w14:paraId="4A7F5466">
            <w:pPr>
              <w:spacing w:before="0" w:after="40" w:line="260" w:lineRule="auto"/>
            </w:pPr>
            <w:r>
              <w:rPr>
                <w:rFonts w:ascii="Calibri" w:hAnsi="Calibri" w:eastAsia="微软雅黑"/>
                <w:color w:val="000000"/>
                <w:sz w:val="20"/>
                <w:szCs w:val="20"/>
              </w:rPr>
              <w:t>Figure 3.49 底部输入加速度</w:t>
            </w:r>
          </w:p>
        </w:tc>
      </w:tr>
      <w:tr w14:paraId="227D3B36">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rPr>
          <w:gridAfter w:val="1"/>
        </w:trPr>
        <w:tc>
          <w:tcPr>
            <w:tcW w:w="2100" w:type="dxa"/>
            <w:tcMar>
              <w:top w:w="100" w:type="dxa"/>
              <w:left w:w="140" w:type="dxa"/>
              <w:bottom w:w="100" w:type="dxa"/>
              <w:right w:w="140" w:type="dxa"/>
            </w:tcMar>
            <w:vAlign w:val="center"/>
          </w:tcPr>
          <w:p w14:paraId="42E5004A">
            <w:pPr>
              <w:spacing w:before="0" w:after="40" w:line="260" w:lineRule="auto"/>
            </w:pPr>
            <w:r>
              <w:rPr>
                <w:rFonts w:ascii="Calibri" w:hAnsi="Calibri" w:eastAsia="微软雅黑"/>
                <w:color w:val="000000"/>
                <w:sz w:val="20"/>
                <w:szCs w:val="20"/>
              </w:rPr>
              <w:t>脚本</w:t>
            </w:r>
          </w:p>
        </w:tc>
        <w:tc>
          <w:tcPr>
            <w:tcW w:w="3100" w:type="dxa"/>
            <w:tcMar>
              <w:top w:w="100" w:type="dxa"/>
              <w:left w:w="140" w:type="dxa"/>
              <w:bottom w:w="100" w:type="dxa"/>
              <w:right w:w="140" w:type="dxa"/>
            </w:tcMar>
            <w:vAlign w:val="center"/>
          </w:tcPr>
          <w:p w14:paraId="5E32D28B">
            <w:pPr>
              <w:spacing w:before="0" w:after="40" w:line="260" w:lineRule="auto"/>
            </w:pPr>
            <w:r>
              <w:rPr>
                <w:rFonts w:ascii="Calibri" w:hAnsi="Calibri" w:eastAsia="微软雅黑"/>
                <w:color w:val="000000"/>
                <w:sz w:val="20"/>
                <w:szCs w:val="20"/>
              </w:rPr>
              <w:t>PIPLE.py</w:t>
            </w:r>
          </w:p>
        </w:tc>
        <w:tc>
          <w:tcPr>
            <w:tcW w:w="4160" w:type="dxa"/>
            <w:tcMar>
              <w:top w:w="100" w:type="dxa"/>
              <w:left w:w="140" w:type="dxa"/>
              <w:bottom w:w="100" w:type="dxa"/>
              <w:right w:w="140" w:type="dxa"/>
            </w:tcMar>
            <w:vAlign w:val="center"/>
          </w:tcPr>
          <w:p w14:paraId="739B5AD4">
            <w:pPr>
              <w:spacing w:before="0" w:after="40" w:line="260" w:lineRule="auto"/>
            </w:pPr>
            <w:r>
              <w:rPr>
                <w:rFonts w:ascii="Calibri" w:hAnsi="Calibri" w:eastAsia="微软雅黑"/>
                <w:color w:val="000000"/>
                <w:sz w:val="20"/>
                <w:szCs w:val="20"/>
              </w:rPr>
              <w:t>底部输入加速度积分为 x 方向速度约束</w:t>
            </w:r>
          </w:p>
        </w:tc>
      </w:tr>
      <w:tr w14:paraId="27EA4910">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rPr>
          <w:gridAfter w:val="1"/>
        </w:trPr>
        <w:tc>
          <w:tcPr>
            <w:tcW w:w="2100" w:type="dxa"/>
            <w:tcMar>
              <w:top w:w="100" w:type="dxa"/>
              <w:left w:w="140" w:type="dxa"/>
              <w:bottom w:w="100" w:type="dxa"/>
              <w:right w:w="140" w:type="dxa"/>
            </w:tcMar>
            <w:vAlign w:val="center"/>
          </w:tcPr>
          <w:p w14:paraId="3C9C5173">
            <w:pPr>
              <w:spacing w:before="0" w:after="40" w:line="260" w:lineRule="auto"/>
            </w:pPr>
            <w:r>
              <w:rPr>
                <w:rFonts w:ascii="Calibri" w:hAnsi="Calibri" w:eastAsia="微软雅黑"/>
                <w:color w:val="000000"/>
                <w:sz w:val="20"/>
                <w:szCs w:val="20"/>
              </w:rPr>
              <w:t>输出目录</w:t>
            </w:r>
          </w:p>
        </w:tc>
        <w:tc>
          <w:tcPr>
            <w:tcW w:w="3100" w:type="dxa"/>
            <w:tcMar>
              <w:top w:w="100" w:type="dxa"/>
              <w:left w:w="140" w:type="dxa"/>
              <w:bottom w:w="100" w:type="dxa"/>
              <w:right w:w="140" w:type="dxa"/>
            </w:tcMar>
            <w:vAlign w:val="center"/>
          </w:tcPr>
          <w:p w14:paraId="6883AE5D">
            <w:pPr>
              <w:spacing w:before="0" w:after="40" w:line="260" w:lineRule="auto"/>
            </w:pPr>
            <w:r>
              <w:rPr>
                <w:rFonts w:ascii="Calibri" w:hAnsi="Calibri" w:eastAsia="微软雅黑"/>
                <w:color w:val="000000"/>
                <w:sz w:val="20"/>
                <w:szCs w:val="20"/>
              </w:rPr>
              <w:t>code/results/flac3d_earthquake_mpm</w:t>
            </w:r>
          </w:p>
        </w:tc>
        <w:tc>
          <w:tcPr>
            <w:tcW w:w="4160" w:type="dxa"/>
            <w:tcMar>
              <w:top w:w="100" w:type="dxa"/>
              <w:left w:w="140" w:type="dxa"/>
              <w:bottom w:w="100" w:type="dxa"/>
              <w:right w:w="140" w:type="dxa"/>
            </w:tcMar>
            <w:vAlign w:val="center"/>
          </w:tcPr>
          <w:p w14:paraId="75F9E219">
            <w:pPr>
              <w:spacing w:before="0" w:after="40" w:line="260" w:lineRule="auto"/>
            </w:pPr>
            <w:r>
              <w:rPr>
                <w:rFonts w:ascii="Calibri" w:hAnsi="Calibri" w:eastAsia="微软雅黑"/>
                <w:color w:val="000000"/>
                <w:sz w:val="20"/>
                <w:szCs w:val="20"/>
              </w:rPr>
              <w:t>保存 CSV、SVG、PNG 和 DOCX 报告</w:t>
            </w:r>
          </w:p>
        </w:tc>
      </w:tr>
      <w:tr w14:paraId="2418A8B7">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rPr>
          <w:gridAfter w:val="1"/>
        </w:trPr>
        <w:tc>
          <w:tcPr>
            <w:tcW w:w="2100" w:type="dxa"/>
            <w:tcMar>
              <w:top w:w="100" w:type="dxa"/>
              <w:left w:w="140" w:type="dxa"/>
              <w:bottom w:w="100" w:type="dxa"/>
              <w:right w:w="140" w:type="dxa"/>
            </w:tcMar>
            <w:vAlign w:val="center"/>
          </w:tcPr>
          <w:p w14:paraId="348A9A72">
            <w:pPr>
              <w:spacing w:before="0" w:after="40" w:line="260" w:lineRule="auto"/>
            </w:pPr>
            <w:r>
              <w:rPr>
                <w:rFonts w:ascii="Calibri" w:hAnsi="Calibri" w:eastAsia="微软雅黑"/>
                <w:color w:val="000000"/>
                <w:sz w:val="20"/>
                <w:szCs w:val="20"/>
              </w:rPr>
              <w:t>土层高度</w:t>
            </w:r>
          </w:p>
        </w:tc>
        <w:tc>
          <w:tcPr>
            <w:tcW w:w="3100" w:type="dxa"/>
            <w:tcMar>
              <w:top w:w="100" w:type="dxa"/>
              <w:left w:w="140" w:type="dxa"/>
              <w:bottom w:w="100" w:type="dxa"/>
              <w:right w:w="140" w:type="dxa"/>
            </w:tcMar>
            <w:vAlign w:val="center"/>
          </w:tcPr>
          <w:p w14:paraId="074733F3">
            <w:pPr>
              <w:spacing w:before="0" w:after="40" w:line="260" w:lineRule="auto"/>
            </w:pPr>
            <w:r>
              <w:rPr>
                <w:rFonts w:ascii="Calibri" w:hAnsi="Calibri" w:eastAsia="微软雅黑"/>
                <w:color w:val="000000"/>
                <w:sz w:val="20"/>
                <w:szCs w:val="20"/>
              </w:rPr>
              <w:t>20 m</w:t>
            </w:r>
          </w:p>
        </w:tc>
        <w:tc>
          <w:tcPr>
            <w:tcW w:w="4160" w:type="dxa"/>
            <w:tcMar>
              <w:top w:w="100" w:type="dxa"/>
              <w:left w:w="140" w:type="dxa"/>
              <w:bottom w:w="100" w:type="dxa"/>
              <w:right w:w="140" w:type="dxa"/>
            </w:tcMar>
            <w:vAlign w:val="center"/>
          </w:tcPr>
          <w:p w14:paraId="56CCA312">
            <w:pPr>
              <w:spacing w:before="0" w:after="40" w:line="260" w:lineRule="auto"/>
            </w:pPr>
            <w:r>
              <w:rPr>
                <w:rFonts w:ascii="Calibri" w:hAnsi="Calibri" w:eastAsia="微软雅黑"/>
                <w:color w:val="000000"/>
                <w:sz w:val="20"/>
                <w:szCs w:val="20"/>
              </w:rPr>
              <w:t>二维一列剪切柱，宽度 1 m</w:t>
            </w:r>
          </w:p>
        </w:tc>
      </w:tr>
      <w:tr w14:paraId="2696AE33">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2100" w:type="dxa"/>
            <w:tcMar>
              <w:top w:w="100" w:type="dxa"/>
              <w:left w:w="140" w:type="dxa"/>
              <w:bottom w:w="100" w:type="dxa"/>
              <w:right w:w="140" w:type="dxa"/>
            </w:tcMar>
            <w:vAlign w:val="center"/>
          </w:tcPr>
          <w:p w14:paraId="7D2EDFBF">
            <w:pPr>
              <w:spacing w:before="0" w:after="40" w:line="260" w:lineRule="auto"/>
            </w:pPr>
            <w:r>
              <w:rPr>
                <w:rFonts w:ascii="Calibri" w:hAnsi="Calibri" w:eastAsia="微软雅黑"/>
                <w:color w:val="000000"/>
                <w:sz w:val="20"/>
                <w:szCs w:val="20"/>
              </w:rPr>
              <w:t>密度</w:t>
            </w:r>
          </w:p>
        </w:tc>
        <w:tc>
          <w:tcPr>
            <w:tcW w:w="3100" w:type="dxa"/>
            <w:tcMar>
              <w:top w:w="100" w:type="dxa"/>
              <w:left w:w="140" w:type="dxa"/>
              <w:bottom w:w="100" w:type="dxa"/>
              <w:right w:w="140" w:type="dxa"/>
            </w:tcMar>
            <w:vAlign w:val="center"/>
          </w:tcPr>
          <w:p w14:paraId="4D7D91CE">
            <w:pPr>
              <w:spacing w:before="0" w:after="40" w:line="260" w:lineRule="auto"/>
            </w:pPr>
            <w:r>
              <w:rPr>
                <w:rFonts w:ascii="Calibri" w:hAnsi="Calibri" w:eastAsia="微软雅黑"/>
                <w:color w:val="000000"/>
                <w:sz w:val="20"/>
                <w:szCs w:val="20"/>
              </w:rPr>
              <w:t>1000.0</w:t>
            </w:r>
          </w:p>
        </w:tc>
        <w:tc>
          <w:tcPr>
            <w:tcW w:w="4160" w:type="dxa"/>
            <w:tcMar>
              <w:top w:w="100" w:type="dxa"/>
              <w:left w:w="140" w:type="dxa"/>
              <w:bottom w:w="100" w:type="dxa"/>
              <w:right w:w="140" w:type="dxa"/>
            </w:tcMar>
            <w:vAlign w:val="center"/>
          </w:tcPr>
          <w:p w14:paraId="2D2F2795">
            <w:pPr>
              <w:spacing w:before="0" w:after="40" w:line="260" w:lineRule="auto"/>
            </w:pPr>
            <w:r>
              <w:rPr>
                <w:rFonts w:ascii="Calibri" w:hAnsi="Calibri" w:eastAsia="微软雅黑"/>
                <w:color w:val="000000"/>
                <w:sz w:val="20"/>
                <w:szCs w:val="20"/>
              </w:rPr>
              <w:t xml:space="preserve"> kg/m3</w:t>
            </w:r>
          </w:p>
        </w:tc>
        <w:tc>
          <w:tcPr>
            <w:tcW w:w="0" w:type="dxa"/>
            <w:tcMar>
              <w:top w:w="100" w:type="dxa"/>
              <w:left w:w="140" w:type="dxa"/>
              <w:bottom w:w="100" w:type="dxa"/>
              <w:right w:w="140" w:type="dxa"/>
            </w:tcMar>
            <w:vAlign w:val="center"/>
          </w:tcPr>
          <w:p w14:paraId="52494206">
            <w:pPr>
              <w:spacing w:before="0" w:after="40" w:line="260" w:lineRule="auto"/>
            </w:pPr>
            <w:r>
              <w:rPr>
                <w:rFonts w:ascii="Calibri" w:hAnsi="Calibri" w:eastAsia="微软雅黑"/>
                <w:color w:val="000000"/>
                <w:sz w:val="20"/>
                <w:szCs w:val="20"/>
              </w:rPr>
              <w:t>文档算例参数</w:t>
            </w:r>
          </w:p>
        </w:tc>
      </w:tr>
      <w:tr w14:paraId="26B994A8">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2100" w:type="dxa"/>
            <w:tcMar>
              <w:top w:w="100" w:type="dxa"/>
              <w:left w:w="140" w:type="dxa"/>
              <w:bottom w:w="100" w:type="dxa"/>
              <w:right w:w="140" w:type="dxa"/>
            </w:tcMar>
            <w:vAlign w:val="center"/>
          </w:tcPr>
          <w:p w14:paraId="7158D1CB">
            <w:pPr>
              <w:spacing w:before="0" w:after="40" w:line="260" w:lineRule="auto"/>
            </w:pPr>
            <w:r>
              <w:rPr>
                <w:rFonts w:ascii="Calibri" w:hAnsi="Calibri" w:eastAsia="微软雅黑"/>
                <w:color w:val="000000"/>
                <w:sz w:val="20"/>
                <w:szCs w:val="20"/>
              </w:rPr>
              <w:t>剪切模量 G</w:t>
            </w:r>
          </w:p>
        </w:tc>
        <w:tc>
          <w:tcPr>
            <w:tcW w:w="3100" w:type="dxa"/>
            <w:tcMar>
              <w:top w:w="100" w:type="dxa"/>
              <w:left w:w="140" w:type="dxa"/>
              <w:bottom w:w="100" w:type="dxa"/>
              <w:right w:w="140" w:type="dxa"/>
            </w:tcMar>
            <w:vAlign w:val="center"/>
          </w:tcPr>
          <w:p w14:paraId="7720EE0D">
            <w:pPr>
              <w:spacing w:before="0" w:after="40" w:line="260" w:lineRule="auto"/>
            </w:pPr>
            <w:r>
              <w:rPr>
                <w:rFonts w:ascii="Calibri" w:hAnsi="Calibri" w:eastAsia="微软雅黑"/>
                <w:color w:val="000000"/>
                <w:sz w:val="20"/>
                <w:szCs w:val="20"/>
              </w:rPr>
              <w:t>500000000.0</w:t>
            </w:r>
          </w:p>
        </w:tc>
        <w:tc>
          <w:tcPr>
            <w:tcW w:w="4160" w:type="dxa"/>
            <w:tcMar>
              <w:top w:w="100" w:type="dxa"/>
              <w:left w:w="140" w:type="dxa"/>
              <w:bottom w:w="100" w:type="dxa"/>
              <w:right w:w="140" w:type="dxa"/>
            </w:tcMar>
            <w:vAlign w:val="center"/>
          </w:tcPr>
          <w:p w14:paraId="329A631F">
            <w:pPr>
              <w:spacing w:before="0" w:after="40" w:line="260" w:lineRule="auto"/>
            </w:pPr>
            <w:r>
              <w:rPr>
                <w:rFonts w:ascii="Calibri" w:hAnsi="Calibri" w:eastAsia="微软雅黑"/>
                <w:color w:val="000000"/>
                <w:sz w:val="20"/>
                <w:szCs w:val="20"/>
              </w:rPr>
              <w:t xml:space="preserve"> Pa</w:t>
            </w:r>
          </w:p>
        </w:tc>
        <w:tc>
          <w:tcPr>
            <w:tcW w:w="0" w:type="dxa"/>
            <w:tcMar>
              <w:top w:w="100" w:type="dxa"/>
              <w:left w:w="140" w:type="dxa"/>
              <w:bottom w:w="100" w:type="dxa"/>
              <w:right w:w="140" w:type="dxa"/>
            </w:tcMar>
            <w:vAlign w:val="center"/>
          </w:tcPr>
          <w:p w14:paraId="5BC67FF0">
            <w:pPr>
              <w:spacing w:before="0" w:after="40" w:line="260" w:lineRule="auto"/>
            </w:pPr>
            <w:r>
              <w:rPr>
                <w:rFonts w:ascii="Calibri" w:hAnsi="Calibri" w:eastAsia="微软雅黑"/>
                <w:color w:val="000000"/>
                <w:sz w:val="20"/>
                <w:szCs w:val="20"/>
              </w:rPr>
              <w:t>用于剪切波传播和应力-应变换算</w:t>
            </w:r>
          </w:p>
        </w:tc>
      </w:tr>
      <w:tr w14:paraId="59E04D77">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2100" w:type="dxa"/>
            <w:tcMar>
              <w:top w:w="100" w:type="dxa"/>
              <w:left w:w="140" w:type="dxa"/>
              <w:bottom w:w="100" w:type="dxa"/>
              <w:right w:w="140" w:type="dxa"/>
            </w:tcMar>
            <w:vAlign w:val="center"/>
          </w:tcPr>
          <w:p w14:paraId="5E1ABB14">
            <w:pPr>
              <w:spacing w:before="0" w:after="40" w:line="260" w:lineRule="auto"/>
            </w:pPr>
            <w:r>
              <w:rPr>
                <w:rFonts w:ascii="Calibri" w:hAnsi="Calibri" w:eastAsia="微软雅黑"/>
                <w:color w:val="000000"/>
                <w:sz w:val="20"/>
                <w:szCs w:val="20"/>
              </w:rPr>
              <w:t>体积模量 K</w:t>
            </w:r>
          </w:p>
        </w:tc>
        <w:tc>
          <w:tcPr>
            <w:tcW w:w="3100" w:type="dxa"/>
            <w:tcMar>
              <w:top w:w="100" w:type="dxa"/>
              <w:left w:w="140" w:type="dxa"/>
              <w:bottom w:w="100" w:type="dxa"/>
              <w:right w:w="140" w:type="dxa"/>
            </w:tcMar>
            <w:vAlign w:val="center"/>
          </w:tcPr>
          <w:p w14:paraId="104BB94C">
            <w:pPr>
              <w:spacing w:before="0" w:after="40" w:line="260" w:lineRule="auto"/>
            </w:pPr>
            <w:r>
              <w:rPr>
                <w:rFonts w:ascii="Calibri" w:hAnsi="Calibri" w:eastAsia="微软雅黑"/>
                <w:color w:val="000000"/>
                <w:sz w:val="20"/>
                <w:szCs w:val="20"/>
              </w:rPr>
              <w:t>1000000000.0</w:t>
            </w:r>
          </w:p>
        </w:tc>
        <w:tc>
          <w:tcPr>
            <w:tcW w:w="4160" w:type="dxa"/>
            <w:tcMar>
              <w:top w:w="100" w:type="dxa"/>
              <w:left w:w="140" w:type="dxa"/>
              <w:bottom w:w="100" w:type="dxa"/>
              <w:right w:w="140" w:type="dxa"/>
            </w:tcMar>
            <w:vAlign w:val="center"/>
          </w:tcPr>
          <w:p w14:paraId="412BCA80">
            <w:pPr>
              <w:spacing w:before="0" w:after="40" w:line="260" w:lineRule="auto"/>
            </w:pPr>
            <w:r>
              <w:rPr>
                <w:rFonts w:ascii="Calibri" w:hAnsi="Calibri" w:eastAsia="微软雅黑"/>
                <w:color w:val="000000"/>
                <w:sz w:val="20"/>
                <w:szCs w:val="20"/>
              </w:rPr>
              <w:t xml:space="preserve"> Pa</w:t>
            </w:r>
          </w:p>
        </w:tc>
        <w:tc>
          <w:tcPr>
            <w:tcW w:w="0" w:type="dxa"/>
            <w:tcMar>
              <w:top w:w="100" w:type="dxa"/>
              <w:left w:w="140" w:type="dxa"/>
              <w:bottom w:w="100" w:type="dxa"/>
              <w:right w:w="140" w:type="dxa"/>
            </w:tcMar>
            <w:vAlign w:val="center"/>
          </w:tcPr>
          <w:p w14:paraId="2C07D1B7">
            <w:pPr>
              <w:spacing w:before="0" w:after="40" w:line="260" w:lineRule="auto"/>
            </w:pPr>
            <w:r>
              <w:rPr>
                <w:rFonts w:ascii="Calibri" w:hAnsi="Calibri" w:eastAsia="微软雅黑"/>
                <w:color w:val="000000"/>
                <w:sz w:val="20"/>
                <w:szCs w:val="20"/>
              </w:rPr>
              <w:t>换算 Young 模量和 Poisson 比</w:t>
            </w:r>
          </w:p>
        </w:tc>
      </w:tr>
      <w:tr w14:paraId="222E7E95">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2100" w:type="dxa"/>
            <w:tcMar>
              <w:top w:w="100" w:type="dxa"/>
              <w:left w:w="140" w:type="dxa"/>
              <w:bottom w:w="100" w:type="dxa"/>
              <w:right w:w="140" w:type="dxa"/>
            </w:tcMar>
            <w:vAlign w:val="center"/>
          </w:tcPr>
          <w:p w14:paraId="3B5A53B5">
            <w:pPr>
              <w:spacing w:before="0" w:after="40" w:line="260" w:lineRule="auto"/>
            </w:pPr>
            <w:r>
              <w:rPr>
                <w:rFonts w:ascii="Calibri" w:hAnsi="Calibri" w:eastAsia="微软雅黑"/>
                <w:color w:val="000000"/>
                <w:sz w:val="20"/>
                <w:szCs w:val="20"/>
              </w:rPr>
              <w:t>时间步长</w:t>
            </w:r>
          </w:p>
        </w:tc>
        <w:tc>
          <w:tcPr>
            <w:tcW w:w="3100" w:type="dxa"/>
            <w:tcMar>
              <w:top w:w="100" w:type="dxa"/>
              <w:left w:w="140" w:type="dxa"/>
              <w:bottom w:w="100" w:type="dxa"/>
              <w:right w:w="140" w:type="dxa"/>
            </w:tcMar>
            <w:vAlign w:val="center"/>
          </w:tcPr>
          <w:p w14:paraId="7F00A4A5">
            <w:pPr>
              <w:spacing w:before="0" w:after="40" w:line="260" w:lineRule="auto"/>
            </w:pPr>
            <w:r>
              <w:rPr>
                <w:rFonts w:ascii="Calibri" w:hAnsi="Calibri" w:eastAsia="微软雅黑"/>
                <w:color w:val="000000"/>
                <w:sz w:val="20"/>
                <w:szCs w:val="20"/>
              </w:rPr>
              <w:t>0.0002</w:t>
            </w:r>
          </w:p>
        </w:tc>
        <w:tc>
          <w:tcPr>
            <w:tcW w:w="4160" w:type="dxa"/>
            <w:tcMar>
              <w:top w:w="100" w:type="dxa"/>
              <w:left w:w="140" w:type="dxa"/>
              <w:bottom w:w="100" w:type="dxa"/>
              <w:right w:w="140" w:type="dxa"/>
            </w:tcMar>
            <w:vAlign w:val="center"/>
          </w:tcPr>
          <w:p w14:paraId="3E351479">
            <w:pPr>
              <w:spacing w:before="0" w:after="40" w:line="260" w:lineRule="auto"/>
            </w:pPr>
            <w:r>
              <w:rPr>
                <w:rFonts w:ascii="Calibri" w:hAnsi="Calibri" w:eastAsia="微软雅黑"/>
                <w:color w:val="000000"/>
                <w:sz w:val="20"/>
                <w:szCs w:val="20"/>
              </w:rPr>
              <w:t xml:space="preserve"> s</w:t>
            </w:r>
          </w:p>
        </w:tc>
        <w:tc>
          <w:tcPr>
            <w:tcW w:w="0" w:type="dxa"/>
            <w:tcMar>
              <w:top w:w="100" w:type="dxa"/>
              <w:left w:w="140" w:type="dxa"/>
              <w:bottom w:w="100" w:type="dxa"/>
              <w:right w:w="140" w:type="dxa"/>
            </w:tcMar>
            <w:vAlign w:val="center"/>
          </w:tcPr>
          <w:p w14:paraId="60C23FBA">
            <w:pPr>
              <w:spacing w:before="0" w:after="40" w:line="260" w:lineRule="auto"/>
            </w:pPr>
            <w:r>
              <w:rPr>
                <w:rFonts w:ascii="Calibri" w:hAnsi="Calibri" w:eastAsia="微软雅黑"/>
                <w:color w:val="000000"/>
                <w:sz w:val="20"/>
                <w:szCs w:val="20"/>
              </w:rPr>
              <w:t>PIPLE.py 默认时间步</w:t>
            </w:r>
          </w:p>
        </w:tc>
      </w:tr>
      <w:tr w14:paraId="3E149920">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2100" w:type="dxa"/>
            <w:tcMar>
              <w:top w:w="100" w:type="dxa"/>
              <w:left w:w="140" w:type="dxa"/>
              <w:bottom w:w="100" w:type="dxa"/>
              <w:right w:w="140" w:type="dxa"/>
            </w:tcMar>
            <w:vAlign w:val="center"/>
          </w:tcPr>
          <w:p w14:paraId="6BC49992">
            <w:pPr>
              <w:spacing w:before="0" w:after="40" w:line="260" w:lineRule="auto"/>
            </w:pPr>
            <w:r>
              <w:rPr>
                <w:rFonts w:ascii="Calibri" w:hAnsi="Calibri" w:eastAsia="微软雅黑"/>
                <w:color w:val="000000"/>
                <w:sz w:val="20"/>
                <w:szCs w:val="20"/>
              </w:rPr>
              <w:t>输入加速度范围</w:t>
            </w:r>
          </w:p>
        </w:tc>
        <w:tc>
          <w:tcPr>
            <w:tcW w:w="3100" w:type="dxa"/>
            <w:tcMar>
              <w:top w:w="100" w:type="dxa"/>
              <w:left w:w="140" w:type="dxa"/>
              <w:bottom w:w="100" w:type="dxa"/>
              <w:right w:w="140" w:type="dxa"/>
            </w:tcMar>
            <w:vAlign w:val="center"/>
          </w:tcPr>
          <w:p w14:paraId="0382754A">
            <w:pPr>
              <w:spacing w:before="0" w:after="40" w:line="260" w:lineRule="auto"/>
            </w:pPr>
            <w:r>
              <w:rPr>
                <w:rFonts w:ascii="Calibri" w:hAnsi="Calibri" w:eastAsia="微软雅黑"/>
                <w:color w:val="000000"/>
                <w:sz w:val="20"/>
                <w:szCs w:val="20"/>
              </w:rPr>
              <w:t>[-8.656, 8.199]</w:t>
            </w:r>
          </w:p>
        </w:tc>
        <w:tc>
          <w:tcPr>
            <w:tcW w:w="4160" w:type="dxa"/>
            <w:tcMar>
              <w:top w:w="100" w:type="dxa"/>
              <w:left w:w="140" w:type="dxa"/>
              <w:bottom w:w="100" w:type="dxa"/>
              <w:right w:w="140" w:type="dxa"/>
            </w:tcMar>
            <w:vAlign w:val="center"/>
          </w:tcPr>
          <w:p w14:paraId="180E46E0">
            <w:pPr>
              <w:spacing w:before="0" w:after="40" w:line="260" w:lineRule="auto"/>
            </w:pPr>
            <w:r>
              <w:rPr>
                <w:rFonts w:ascii="Calibri" w:hAnsi="Calibri" w:eastAsia="微软雅黑"/>
                <w:color w:val="000000"/>
                <w:sz w:val="20"/>
                <w:szCs w:val="20"/>
              </w:rPr>
              <w:t xml:space="preserve"> m/s2</w:t>
            </w:r>
          </w:p>
        </w:tc>
        <w:tc>
          <w:tcPr>
            <w:tcW w:w="0" w:type="dxa"/>
            <w:tcMar>
              <w:top w:w="100" w:type="dxa"/>
              <w:left w:w="140" w:type="dxa"/>
              <w:bottom w:w="100" w:type="dxa"/>
              <w:right w:w="140" w:type="dxa"/>
            </w:tcMar>
            <w:vAlign w:val="center"/>
          </w:tcPr>
          <w:p w14:paraId="1EAE0929">
            <w:pPr>
              <w:spacing w:before="0" w:after="40" w:line="260" w:lineRule="auto"/>
            </w:pPr>
            <w:r>
              <w:rPr>
                <w:rFonts w:ascii="Calibri" w:hAnsi="Calibri" w:eastAsia="微软雅黑"/>
                <w:color w:val="000000"/>
                <w:sz w:val="20"/>
                <w:szCs w:val="20"/>
              </w:rPr>
              <w:t>按 Figure 3.49 / 文档结果范围标定</w:t>
            </w:r>
          </w:p>
        </w:tc>
      </w:tr>
    </w:tbl>
    <w:p w14:paraId="3AFC2498">
      <w:pPr>
        <w:pStyle w:val="2"/>
        <w:spacing w:before="320" w:after="160" w:line="264" w:lineRule="auto"/>
      </w:pPr>
      <w:r>
        <w:rPr>
          <w:rFonts w:ascii="Calibri" w:hAnsi="Calibri" w:eastAsia="微软雅黑"/>
          <w:color w:val="000000"/>
          <w:sz w:val="22"/>
          <w:szCs w:val="22"/>
        </w:rPr>
        <w:t>3. 输入波形与响应对比</w:t>
      </w:r>
    </w:p>
    <w:p w14:paraId="0C496B67">
      <w:pPr>
        <w:spacing w:before="0" w:after="120" w:line="264" w:lineRule="auto"/>
      </w:pPr>
      <w:r>
        <w:rPr>
          <w:rFonts w:ascii="Calibri" w:hAnsi="Calibri" w:eastAsia="微软雅黑"/>
          <w:color w:val="000000"/>
          <w:sz w:val="22"/>
          <w:szCs w:val="22"/>
        </w:rPr>
        <w:t>图 1 给出用于底部加载的函数型输入加速度。图 2 将底部、中部和自由表面三处加速度响应与文档图中的量级范围叠加比较。阴影区表示文档范围，曲线表示 MPM 输出。</w:t>
      </w:r>
    </w:p>
    <w:p w14:paraId="661FDDB8">
      <w:pPr>
        <w:spacing w:before="80" w:after="80"/>
        <w:jc w:val="center"/>
      </w:pPr>
      <w:r>
        <w:drawing>
          <wp:inline distT="0" distB="0" distL="0" distR="0">
            <wp:extent cx="5715000" cy="2569210"/>
            <wp:effectExtent l="0" t="0" r="0" b="2540"/>
            <wp:docPr id="1" name="resul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ult figure"/>
                    <pic:cNvPicPr>
                      <a:picLocks noChangeAspect="1"/>
                    </pic:cNvPicPr>
                  </pic:nvPicPr>
                  <pic:blipFill>
                    <a:blip r:embed="rId6"/>
                    <a:stretch>
                      <a:fillRect/>
                    </a:stretch>
                  </pic:blipFill>
                  <pic:spPr>
                    <a:xfrm>
                      <a:off x="0" y="0"/>
                      <a:ext cx="5715000" cy="2569301"/>
                    </a:xfrm>
                    <a:prstGeom prst="rect">
                      <a:avLst/>
                    </a:prstGeom>
                  </pic:spPr>
                </pic:pic>
              </a:graphicData>
            </a:graphic>
          </wp:inline>
        </w:drawing>
      </w:r>
    </w:p>
    <w:p w14:paraId="01C660EF">
      <w:pPr>
        <w:spacing w:before="40" w:after="180" w:line="250" w:lineRule="auto"/>
        <w:jc w:val="center"/>
      </w:pPr>
      <w:r>
        <w:rPr>
          <w:rFonts w:ascii="Calibri" w:hAnsi="Calibri" w:eastAsia="微软雅黑"/>
          <w:i/>
          <w:iCs/>
          <w:color w:val="555555"/>
          <w:sz w:val="18"/>
          <w:szCs w:val="18"/>
        </w:rPr>
        <w:t>Figure 1  Function input acceleration corresponding to FLAC3D Figure 3.49.</w:t>
      </w:r>
    </w:p>
    <w:p w14:paraId="2ABEFAC7">
      <w:pPr>
        <w:spacing w:before="80" w:after="80"/>
        <w:jc w:val="center"/>
      </w:pPr>
      <w:r>
        <w:drawing>
          <wp:inline distT="0" distB="0" distL="0" distR="0">
            <wp:extent cx="5715000" cy="5153660"/>
            <wp:effectExtent l="0" t="0" r="0" b="8890"/>
            <wp:docPr id="2" name="resul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ult figure"/>
                    <pic:cNvPicPr>
                      <a:picLocks noChangeAspect="1"/>
                    </pic:cNvPicPr>
                  </pic:nvPicPr>
                  <pic:blipFill>
                    <a:blip r:embed="rId7"/>
                    <a:stretch>
                      <a:fillRect/>
                    </a:stretch>
                  </pic:blipFill>
                  <pic:spPr>
                    <a:xfrm>
                      <a:off x="0" y="0"/>
                      <a:ext cx="5715000" cy="5153672"/>
                    </a:xfrm>
                    <a:prstGeom prst="rect">
                      <a:avLst/>
                    </a:prstGeom>
                  </pic:spPr>
                </pic:pic>
              </a:graphicData>
            </a:graphic>
          </wp:inline>
        </w:drawing>
      </w:r>
    </w:p>
    <w:p w14:paraId="2B0E6721">
      <w:pPr>
        <w:spacing w:before="40" w:after="180" w:line="250" w:lineRule="auto"/>
        <w:jc w:val="center"/>
      </w:pPr>
      <w:r>
        <w:rPr>
          <w:rFonts w:ascii="Calibri" w:hAnsi="Calibri" w:eastAsia="微软雅黑"/>
          <w:i/>
          <w:iCs/>
          <w:color w:val="555555"/>
          <w:sz w:val="18"/>
          <w:szCs w:val="18"/>
        </w:rPr>
        <w:t>Figure 2  Acceleration histories: MPM response compared with document result ranges.</w:t>
      </w:r>
    </w:p>
    <w:p w14:paraId="253BB414">
      <w:pPr>
        <w:pStyle w:val="2"/>
        <w:spacing w:before="320" w:after="160" w:line="264" w:lineRule="auto"/>
      </w:pPr>
      <w:r>
        <w:rPr>
          <w:rFonts w:ascii="Calibri" w:hAnsi="Calibri" w:eastAsia="微软雅黑"/>
          <w:color w:val="000000"/>
          <w:sz w:val="22"/>
          <w:szCs w:val="22"/>
        </w:rPr>
        <w:t>4. 应力-应变与位移检查</w:t>
      </w:r>
    </w:p>
    <w:p w14:paraId="284460CD">
      <w:pPr>
        <w:spacing w:before="0" w:after="120" w:line="264" w:lineRule="auto"/>
      </w:pPr>
      <w:r>
        <w:rPr>
          <w:rFonts w:ascii="Calibri" w:hAnsi="Calibri" w:eastAsia="微软雅黑"/>
          <w:color w:val="000000"/>
          <w:sz w:val="22"/>
          <w:szCs w:val="22"/>
        </w:rPr>
        <w:t>剪应力-剪应变图用于检查动力输入后土柱内部响应是否落在文档结果量级内；位移历史用于检查输入积分后的基底速度是否引入异常长期漂移。</w:t>
      </w:r>
    </w:p>
    <w:p w14:paraId="4E8A6CBB">
      <w:pPr>
        <w:spacing w:before="80" w:after="80"/>
        <w:jc w:val="center"/>
      </w:pPr>
      <w:r>
        <w:drawing>
          <wp:inline distT="0" distB="0" distL="0" distR="0">
            <wp:extent cx="5623560" cy="3337560"/>
            <wp:effectExtent l="0" t="0" r="15240" b="15240"/>
            <wp:docPr id="3" name="resul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ult figure"/>
                    <pic:cNvPicPr>
                      <a:picLocks noChangeAspect="1"/>
                    </pic:cNvPicPr>
                  </pic:nvPicPr>
                  <pic:blipFill>
                    <a:blip r:embed="rId8"/>
                    <a:stretch>
                      <a:fillRect/>
                    </a:stretch>
                  </pic:blipFill>
                  <pic:spPr>
                    <a:xfrm>
                      <a:off x="0" y="0"/>
                      <a:ext cx="5623560" cy="3337831"/>
                    </a:xfrm>
                    <a:prstGeom prst="rect">
                      <a:avLst/>
                    </a:prstGeom>
                  </pic:spPr>
                </pic:pic>
              </a:graphicData>
            </a:graphic>
          </wp:inline>
        </w:drawing>
      </w:r>
    </w:p>
    <w:p w14:paraId="046807AC">
      <w:pPr>
        <w:spacing w:before="40" w:after="180" w:line="250" w:lineRule="auto"/>
        <w:jc w:val="center"/>
      </w:pPr>
      <w:r>
        <w:rPr>
          <w:rFonts w:ascii="Calibri" w:hAnsi="Calibri" w:eastAsia="微软雅黑"/>
          <w:i/>
          <w:iCs/>
          <w:color w:val="555555"/>
          <w:sz w:val="18"/>
          <w:szCs w:val="18"/>
        </w:rPr>
        <w:t>Figure 3  Shear stress-strain paths at base and middle monitoring zones.</w:t>
      </w:r>
    </w:p>
    <w:p w14:paraId="311B9A8E">
      <w:pPr>
        <w:spacing w:before="80" w:after="80"/>
        <w:jc w:val="center"/>
      </w:pPr>
      <w:r>
        <w:drawing>
          <wp:inline distT="0" distB="0" distL="0" distR="0">
            <wp:extent cx="5623560" cy="2689225"/>
            <wp:effectExtent l="0" t="0" r="15240" b="15875"/>
            <wp:docPr id="4" name="resul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ult figure"/>
                    <pic:cNvPicPr>
                      <a:picLocks noChangeAspect="1"/>
                    </pic:cNvPicPr>
                  </pic:nvPicPr>
                  <pic:blipFill>
                    <a:blip r:embed="rId9"/>
                    <a:stretch>
                      <a:fillRect/>
                    </a:stretch>
                  </pic:blipFill>
                  <pic:spPr>
                    <a:xfrm>
                      <a:off x="0" y="0"/>
                      <a:ext cx="5623560" cy="2689529"/>
                    </a:xfrm>
                    <a:prstGeom prst="rect">
                      <a:avLst/>
                    </a:prstGeom>
                  </pic:spPr>
                </pic:pic>
              </a:graphicData>
            </a:graphic>
          </wp:inline>
        </w:drawing>
      </w:r>
    </w:p>
    <w:p w14:paraId="3CFDE3CE">
      <w:pPr>
        <w:spacing w:before="40" w:after="180" w:line="250" w:lineRule="auto"/>
        <w:jc w:val="center"/>
      </w:pPr>
      <w:r>
        <w:rPr>
          <w:rFonts w:ascii="Calibri" w:hAnsi="Calibri" w:eastAsia="微软雅黑"/>
          <w:i/>
          <w:iCs/>
          <w:color w:val="555555"/>
          <w:sz w:val="18"/>
          <w:szCs w:val="18"/>
        </w:rPr>
        <w:t>Figure 4  Horizontal displacement histories of base, middle, and surface zones.</w:t>
      </w:r>
    </w:p>
    <w:p w14:paraId="29A2CC77">
      <w:pPr>
        <w:pStyle w:val="2"/>
        <w:spacing w:before="320" w:after="160" w:line="264" w:lineRule="auto"/>
      </w:pPr>
      <w:r>
        <w:rPr>
          <w:rFonts w:ascii="Calibri" w:hAnsi="Calibri" w:eastAsia="微软雅黑"/>
          <w:color w:val="000000"/>
          <w:sz w:val="22"/>
          <w:szCs w:val="22"/>
        </w:rPr>
        <w:t>5. 复现结论与限制</w:t>
      </w:r>
    </w:p>
    <w:p w14:paraId="26482DB4">
      <w:pPr>
        <w:spacing w:before="0" w:after="120" w:line="264" w:lineRule="auto"/>
      </w:pPr>
      <w:r>
        <w:rPr>
          <w:rFonts w:ascii="Calibri" w:hAnsi="Calibri" w:eastAsia="微软雅黑"/>
          <w:color w:val="000000"/>
          <w:sz w:val="22"/>
          <w:szCs w:val="22"/>
        </w:rPr>
        <w:t>PIPLE.py 已将 Figure 3.49 的底部加速度输入转化为可重复的解析/CSV 驱动加载流程，并提供 base_motion.csv、histories.csv、acceleration_comparison.svg 和 stress_strain_comparison.svg 作为结果核查文件。</w:t>
      </w:r>
    </w:p>
    <w:p w14:paraId="3A81F1FB">
      <w:pPr>
        <w:spacing w:before="0" w:after="120" w:line="264" w:lineRule="auto"/>
      </w:pPr>
      <w:r>
        <w:rPr>
          <w:rFonts w:ascii="Calibri" w:hAnsi="Calibri" w:eastAsia="微软雅黑"/>
          <w:color w:val="000000"/>
          <w:sz w:val="22"/>
          <w:szCs w:val="22"/>
        </w:rPr>
        <w:t>需要注意：当前输入波形是按文档图形范围和波形包络拟合/复用的函数型时程，而不是 FLAC3D 原始 gilroy1.acc 文件逐点记录。因此，该复现适合验证建模流程、响应量级和对比图生成，不应解释为与 FLAC3D 原始记录逐点完全一致。</w:t>
      </w:r>
    </w:p>
    <w:p w14:paraId="33927BB3">
      <w:pPr>
        <w:pStyle w:val="2"/>
        <w:spacing w:before="320" w:after="160" w:line="264" w:lineRule="auto"/>
      </w:pPr>
      <w:r>
        <w:rPr>
          <w:rFonts w:ascii="Calibri" w:hAnsi="Calibri" w:eastAsia="微软雅黑"/>
          <w:color w:val="000000"/>
          <w:sz w:val="22"/>
          <w:szCs w:val="22"/>
        </w:rPr>
        <w:t>6. 文件清单</w:t>
      </w:r>
    </w:p>
    <w:tbl>
      <w:tblPr>
        <w:tblStyle w:val="5"/>
        <w:tblW w:w="9360" w:type="dxa"/>
        <w:tblInd w:w="120" w:type="dxa"/>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Layout w:type="fixed"/>
        <w:tblCellMar>
          <w:top w:w="80" w:type="dxa"/>
          <w:left w:w="120" w:type="dxa"/>
          <w:bottom w:w="80" w:type="dxa"/>
          <w:right w:w="120" w:type="dxa"/>
        </w:tblCellMar>
      </w:tblPr>
      <w:tblGrid>
        <w:gridCol w:w="3300"/>
        <w:gridCol w:w="6060"/>
      </w:tblGrid>
      <w:tr w14:paraId="510B401D">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shd w:val="clear" w:color="auto" w:fill="F2F4F7"/>
            <w:tcMar>
              <w:top w:w="100" w:type="dxa"/>
              <w:left w:w="140" w:type="dxa"/>
              <w:bottom w:w="100" w:type="dxa"/>
              <w:right w:w="140" w:type="dxa"/>
            </w:tcMar>
            <w:vAlign w:val="center"/>
          </w:tcPr>
          <w:p w14:paraId="574CB1BB">
            <w:pPr>
              <w:spacing w:before="0" w:after="40" w:line="260" w:lineRule="auto"/>
            </w:pPr>
            <w:r>
              <w:rPr>
                <w:rFonts w:ascii="Calibri" w:hAnsi="Calibri" w:eastAsia="微软雅黑"/>
                <w:b/>
                <w:bCs/>
                <w:color w:val="0B2545"/>
                <w:sz w:val="21"/>
                <w:szCs w:val="21"/>
              </w:rPr>
              <w:t>文件</w:t>
            </w:r>
          </w:p>
        </w:tc>
        <w:tc>
          <w:tcPr>
            <w:tcW w:w="6060" w:type="dxa"/>
            <w:shd w:val="clear" w:color="auto" w:fill="F2F4F7"/>
            <w:tcMar>
              <w:top w:w="100" w:type="dxa"/>
              <w:left w:w="140" w:type="dxa"/>
              <w:bottom w:w="100" w:type="dxa"/>
              <w:right w:w="140" w:type="dxa"/>
            </w:tcMar>
            <w:vAlign w:val="center"/>
          </w:tcPr>
          <w:p w14:paraId="75A8C03D">
            <w:pPr>
              <w:spacing w:before="0" w:after="40" w:line="260" w:lineRule="auto"/>
            </w:pPr>
            <w:r>
              <w:rPr>
                <w:rFonts w:ascii="Calibri" w:hAnsi="Calibri" w:eastAsia="微软雅黑"/>
                <w:b/>
                <w:bCs/>
                <w:color w:val="0B2545"/>
                <w:sz w:val="21"/>
                <w:szCs w:val="21"/>
              </w:rPr>
              <w:t>用途</w:t>
            </w:r>
          </w:p>
        </w:tc>
      </w:tr>
      <w:tr w14:paraId="72CC0E4D">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73263CAD">
            <w:pPr>
              <w:spacing w:before="0" w:after="40" w:line="260" w:lineRule="auto"/>
            </w:pPr>
            <w:r>
              <w:rPr>
                <w:rFonts w:ascii="Calibri" w:hAnsi="Calibri" w:eastAsia="微软雅黑"/>
                <w:color w:val="000000"/>
                <w:sz w:val="20"/>
                <w:szCs w:val="20"/>
              </w:rPr>
              <w:t>PIPLE.py</w:t>
            </w:r>
          </w:p>
        </w:tc>
        <w:tc>
          <w:tcPr>
            <w:tcW w:w="6060" w:type="dxa"/>
            <w:tcMar>
              <w:top w:w="100" w:type="dxa"/>
              <w:left w:w="140" w:type="dxa"/>
              <w:bottom w:w="100" w:type="dxa"/>
              <w:right w:w="140" w:type="dxa"/>
            </w:tcMar>
            <w:vAlign w:val="center"/>
          </w:tcPr>
          <w:p w14:paraId="7F2E7642">
            <w:pPr>
              <w:spacing w:before="0" w:after="40" w:line="260" w:lineRule="auto"/>
            </w:pPr>
            <w:r>
              <w:rPr>
                <w:rFonts w:ascii="Calibri" w:hAnsi="Calibri" w:eastAsia="微软雅黑"/>
                <w:color w:val="000000"/>
                <w:sz w:val="20"/>
                <w:szCs w:val="20"/>
              </w:rPr>
              <w:t>GeoTaichi MPM 复现脚本，包含 Figure 3.49 底部输入加速度处理</w:t>
            </w:r>
          </w:p>
        </w:tc>
      </w:tr>
      <w:tr w14:paraId="516554D1">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0E7F3E9C">
            <w:pPr>
              <w:spacing w:before="0" w:after="40" w:line="260" w:lineRule="auto"/>
            </w:pPr>
            <w:r>
              <w:rPr>
                <w:rFonts w:ascii="Calibri" w:hAnsi="Calibri" w:eastAsia="微软雅黑"/>
                <w:color w:val="000000"/>
                <w:sz w:val="20"/>
                <w:szCs w:val="20"/>
              </w:rPr>
              <w:t>base_motion.csv</w:t>
            </w:r>
          </w:p>
        </w:tc>
        <w:tc>
          <w:tcPr>
            <w:tcW w:w="6060" w:type="dxa"/>
            <w:tcMar>
              <w:top w:w="100" w:type="dxa"/>
              <w:left w:w="140" w:type="dxa"/>
              <w:bottom w:w="100" w:type="dxa"/>
              <w:right w:w="140" w:type="dxa"/>
            </w:tcMar>
            <w:vAlign w:val="center"/>
          </w:tcPr>
          <w:p w14:paraId="509E2F24">
            <w:pPr>
              <w:spacing w:before="0" w:after="40" w:line="260" w:lineRule="auto"/>
            </w:pPr>
            <w:r>
              <w:rPr>
                <w:rFonts w:ascii="Calibri" w:hAnsi="Calibri" w:eastAsia="微软雅黑"/>
                <w:color w:val="000000"/>
                <w:sz w:val="20"/>
                <w:szCs w:val="20"/>
              </w:rPr>
              <w:t>输入加速度及积分底部速度</w:t>
            </w:r>
          </w:p>
        </w:tc>
      </w:tr>
      <w:tr w14:paraId="1A0AB735">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535D504D">
            <w:pPr>
              <w:spacing w:before="0" w:after="40" w:line="260" w:lineRule="auto"/>
            </w:pPr>
            <w:r>
              <w:rPr>
                <w:rFonts w:ascii="Calibri" w:hAnsi="Calibri" w:eastAsia="微软雅黑"/>
                <w:color w:val="000000"/>
                <w:sz w:val="20"/>
                <w:szCs w:val="20"/>
              </w:rPr>
              <w:t>histories.csv</w:t>
            </w:r>
          </w:p>
        </w:tc>
        <w:tc>
          <w:tcPr>
            <w:tcW w:w="6060" w:type="dxa"/>
            <w:tcMar>
              <w:top w:w="100" w:type="dxa"/>
              <w:left w:w="140" w:type="dxa"/>
              <w:bottom w:w="100" w:type="dxa"/>
              <w:right w:w="140" w:type="dxa"/>
            </w:tcMar>
            <w:vAlign w:val="center"/>
          </w:tcPr>
          <w:p w14:paraId="40536190">
            <w:pPr>
              <w:spacing w:before="0" w:after="40" w:line="260" w:lineRule="auto"/>
            </w:pPr>
            <w:r>
              <w:rPr>
                <w:rFonts w:ascii="Calibri" w:hAnsi="Calibri" w:eastAsia="微软雅黑"/>
                <w:color w:val="000000"/>
                <w:sz w:val="20"/>
                <w:szCs w:val="20"/>
              </w:rPr>
              <w:t>底部、中部、自由表面速度、加速度、位移和应力历史</w:t>
            </w:r>
          </w:p>
        </w:tc>
      </w:tr>
      <w:tr w14:paraId="3AF4B5F5">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47AA6FB8">
            <w:pPr>
              <w:spacing w:before="0" w:after="40" w:line="260" w:lineRule="auto"/>
            </w:pPr>
            <w:r>
              <w:rPr>
                <w:rFonts w:ascii="Calibri" w:hAnsi="Calibri" w:eastAsia="微软雅黑"/>
                <w:color w:val="000000"/>
                <w:sz w:val="20"/>
                <w:szCs w:val="20"/>
              </w:rPr>
              <w:t>fig1_input_wave.png</w:t>
            </w:r>
          </w:p>
        </w:tc>
        <w:tc>
          <w:tcPr>
            <w:tcW w:w="6060" w:type="dxa"/>
            <w:tcMar>
              <w:top w:w="100" w:type="dxa"/>
              <w:left w:w="140" w:type="dxa"/>
              <w:bottom w:w="100" w:type="dxa"/>
              <w:right w:w="140" w:type="dxa"/>
            </w:tcMar>
            <w:vAlign w:val="center"/>
          </w:tcPr>
          <w:p w14:paraId="2FBB7E12">
            <w:pPr>
              <w:spacing w:before="0" w:after="40" w:line="260" w:lineRule="auto"/>
            </w:pPr>
            <w:r>
              <w:rPr>
                <w:rFonts w:ascii="Calibri" w:hAnsi="Calibri" w:eastAsia="微软雅黑"/>
                <w:color w:val="000000"/>
                <w:sz w:val="20"/>
                <w:szCs w:val="20"/>
              </w:rPr>
              <w:t>报告中的底部输入波形图</w:t>
            </w:r>
          </w:p>
        </w:tc>
      </w:tr>
      <w:tr w14:paraId="5B937961">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647AF69F">
            <w:pPr>
              <w:spacing w:before="0" w:after="40" w:line="260" w:lineRule="auto"/>
            </w:pPr>
            <w:r>
              <w:rPr>
                <w:rFonts w:ascii="Calibri" w:hAnsi="Calibri" w:eastAsia="微软雅黑"/>
                <w:color w:val="000000"/>
                <w:sz w:val="20"/>
                <w:szCs w:val="20"/>
              </w:rPr>
              <w:t>fig2_acceleration_comparison.png</w:t>
            </w:r>
          </w:p>
        </w:tc>
        <w:tc>
          <w:tcPr>
            <w:tcW w:w="6060" w:type="dxa"/>
            <w:tcMar>
              <w:top w:w="100" w:type="dxa"/>
              <w:left w:w="140" w:type="dxa"/>
              <w:bottom w:w="100" w:type="dxa"/>
              <w:right w:w="140" w:type="dxa"/>
            </w:tcMar>
            <w:vAlign w:val="center"/>
          </w:tcPr>
          <w:p w14:paraId="45C2183C">
            <w:pPr>
              <w:spacing w:before="0" w:after="40" w:line="260" w:lineRule="auto"/>
            </w:pPr>
            <w:r>
              <w:rPr>
                <w:rFonts w:ascii="Calibri" w:hAnsi="Calibri" w:eastAsia="微软雅黑"/>
                <w:color w:val="000000"/>
                <w:sz w:val="20"/>
                <w:szCs w:val="20"/>
              </w:rPr>
              <w:t>报告中的加速度响应对比图</w:t>
            </w:r>
          </w:p>
        </w:tc>
      </w:tr>
      <w:tr w14:paraId="5DB20936">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60FB857B">
            <w:pPr>
              <w:spacing w:before="0" w:after="40" w:line="260" w:lineRule="auto"/>
            </w:pPr>
            <w:r>
              <w:rPr>
                <w:rFonts w:ascii="Calibri" w:hAnsi="Calibri" w:eastAsia="微软雅黑"/>
                <w:color w:val="000000"/>
                <w:sz w:val="20"/>
                <w:szCs w:val="20"/>
              </w:rPr>
              <w:t>fig3_stress_strain_comparison.png</w:t>
            </w:r>
          </w:p>
        </w:tc>
        <w:tc>
          <w:tcPr>
            <w:tcW w:w="6060" w:type="dxa"/>
            <w:tcMar>
              <w:top w:w="100" w:type="dxa"/>
              <w:left w:w="140" w:type="dxa"/>
              <w:bottom w:w="100" w:type="dxa"/>
              <w:right w:w="140" w:type="dxa"/>
            </w:tcMar>
            <w:vAlign w:val="center"/>
          </w:tcPr>
          <w:p w14:paraId="40804F68">
            <w:pPr>
              <w:spacing w:before="0" w:after="40" w:line="260" w:lineRule="auto"/>
            </w:pPr>
            <w:r>
              <w:rPr>
                <w:rFonts w:ascii="Calibri" w:hAnsi="Calibri" w:eastAsia="微软雅黑"/>
                <w:color w:val="000000"/>
                <w:sz w:val="20"/>
                <w:szCs w:val="20"/>
              </w:rPr>
              <w:t>报告中的剪应力-剪应变对比图</w:t>
            </w:r>
          </w:p>
        </w:tc>
      </w:tr>
      <w:tr w14:paraId="67B1334B">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80" w:type="dxa"/>
            <w:left w:w="120" w:type="dxa"/>
            <w:bottom w:w="80" w:type="dxa"/>
            <w:right w:w="120" w:type="dxa"/>
          </w:tblCellMar>
        </w:tblPrEx>
        <w:tc>
          <w:tcPr>
            <w:tcW w:w="3300" w:type="dxa"/>
            <w:tcMar>
              <w:top w:w="100" w:type="dxa"/>
              <w:left w:w="140" w:type="dxa"/>
              <w:bottom w:w="100" w:type="dxa"/>
              <w:right w:w="140" w:type="dxa"/>
            </w:tcMar>
            <w:vAlign w:val="center"/>
          </w:tcPr>
          <w:p w14:paraId="6432F210">
            <w:pPr>
              <w:spacing w:before="0" w:after="40" w:line="260" w:lineRule="auto"/>
            </w:pPr>
            <w:r>
              <w:rPr>
                <w:rFonts w:ascii="Calibri" w:hAnsi="Calibri" w:eastAsia="微软雅黑"/>
                <w:color w:val="000000"/>
                <w:sz w:val="20"/>
                <w:szCs w:val="20"/>
              </w:rPr>
              <w:t>fig4_displacement.png</w:t>
            </w:r>
          </w:p>
        </w:tc>
        <w:tc>
          <w:tcPr>
            <w:tcW w:w="6060" w:type="dxa"/>
            <w:tcMar>
              <w:top w:w="100" w:type="dxa"/>
              <w:left w:w="140" w:type="dxa"/>
              <w:bottom w:w="100" w:type="dxa"/>
              <w:right w:w="140" w:type="dxa"/>
            </w:tcMar>
            <w:vAlign w:val="center"/>
          </w:tcPr>
          <w:p w14:paraId="5B57BD7E">
            <w:pPr>
              <w:spacing w:before="0" w:after="40" w:line="260" w:lineRule="auto"/>
            </w:pPr>
            <w:r>
              <w:rPr>
                <w:rFonts w:ascii="Calibri" w:hAnsi="Calibri" w:eastAsia="微软雅黑"/>
                <w:color w:val="000000"/>
                <w:sz w:val="20"/>
                <w:szCs w:val="20"/>
              </w:rPr>
              <w:t>报告中的水平位移历史图</w:t>
            </w:r>
          </w:p>
        </w:tc>
      </w:tr>
    </w:tbl>
    <w:p w14:paraId="5AC77BF1"/>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3FB760A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微软雅黑"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64" w:lineRule="auto"/>
    </w:pPr>
    <w:rPr>
      <w:rFonts w:ascii="Calibri" w:hAnsi="Calibri" w:eastAsia="微软雅黑"/>
      <w:sz w:val="22"/>
      <w:szCs w:val="22"/>
    </w:rPr>
  </w:style>
  <w:style w:type="paragraph" w:styleId="2">
    <w:name w:val="heading 1"/>
    <w:basedOn w:val="1"/>
    <w:next w:val="1"/>
    <w:qFormat/>
    <w:uiPriority w:val="0"/>
    <w:pPr>
      <w:keepNext/>
      <w:spacing w:before="320" w:after="160" w:line="264" w:lineRule="auto"/>
      <w:outlineLvl w:val="0"/>
    </w:pPr>
    <w:rPr>
      <w:rFonts w:ascii="Calibri" w:hAnsi="Calibri" w:eastAsia="微软雅黑"/>
      <w:b/>
      <w:bCs/>
      <w:color w:val="2E74B5"/>
      <w:sz w:val="32"/>
      <w:szCs w:val="32"/>
    </w:rPr>
  </w:style>
  <w:style w:type="paragraph" w:styleId="3">
    <w:name w:val="heading 2"/>
    <w:basedOn w:val="1"/>
    <w:next w:val="1"/>
    <w:qFormat/>
    <w:uiPriority w:val="0"/>
    <w:pPr>
      <w:keepNext/>
      <w:spacing w:before="240" w:after="120" w:line="264" w:lineRule="auto"/>
      <w:outlineLvl w:val="1"/>
    </w:pPr>
    <w:rPr>
      <w:rFonts w:ascii="Calibri" w:hAnsi="Calibri" w:eastAsia="微软雅黑"/>
      <w:b/>
      <w:bCs/>
      <w:color w:val="2E74B5"/>
      <w:sz w:val="26"/>
      <w:szCs w:val="26"/>
    </w:rPr>
  </w:style>
  <w:style w:type="paragraph" w:styleId="4">
    <w:name w:val="heading 3"/>
    <w:basedOn w:val="1"/>
    <w:next w:val="1"/>
    <w:qFormat/>
    <w:uiPriority w:val="0"/>
    <w:pPr>
      <w:keepNext/>
      <w:spacing w:before="160" w:after="80" w:line="264" w:lineRule="auto"/>
      <w:outlineLvl w:val="2"/>
    </w:pPr>
    <w:rPr>
      <w:rFonts w:ascii="Calibri" w:hAnsi="Calibri" w:eastAsia="微软雅黑"/>
      <w:b/>
      <w:bCs/>
      <w:color w:val="1F4D78"/>
      <w:sz w:val="24"/>
      <w:szCs w:val="24"/>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823</Words>
  <Characters>1668</Characters>
  <TotalTime>20</TotalTime>
  <ScaleCrop>false</ScaleCrop>
  <LinksUpToDate>false</LinksUpToDate>
  <CharactersWithSpaces>1812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2026-06-08T09:38:00Z</dcterms:created>
  <dc:creator>Codex</dc:creator>
  <cp:lastModifiedBy>易斯顿</cp:lastModifiedBy>
  <dcterms:modified xsi:type="dcterms:W3CDTF">2026-06-08T19:07:14Z</dcterms:modified>
  <dc:title>FLAC3D Figure 3.49 MPM reproduction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eyJoZGlkIjoiNzc5ZGJmMzRjYzE0NjBkZDAxMDVlOGNiYzkyMGQ5MjAiLCJ1c2VySWQiOiIxMDUxODMzNDEwIn0=</vt:lpwstr>
  </property>
  <property fmtid="{D5CDD505-2E9C-101B-9397-08002B2CF9AE}" pid="3" name="KSOProductBuildVer">
    <vt:lpwstr>2052-12.1.0.26895</vt:lpwstr>
  </property>
  <property fmtid="{D5CDD505-2E9C-101B-9397-08002B2CF9AE}" pid="4" name="ICV">
    <vt:lpwstr>868AA4503F85417E9D4A2482B5E2D5D5_12</vt:lpwstr>
  </property>
</Properties>
</file>