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LC-MS/MS Method Validation Report</w:t>
      </w:r>
    </w:p>
    <w:p>
      <w:pPr>
        <w:pStyle w:val="Heading2"/>
      </w:pPr>
      <w:r>
        <w:t>Abstract</w:t>
      </w:r>
    </w:p>
    <w:p>
      <w:r>
        <w:t>This report describes the validation of an LC-MS/MS method for the quantification of methylxanthines in biological matrices. The method demonstrates excellent linearity, precision, and accuracy within regulatory guidelines.</w:t>
      </w:r>
    </w:p>
    <w:p>
      <w:pPr>
        <w:pStyle w:val="Heading2"/>
      </w:pPr>
      <w:r>
        <w:t>1. Introduction</w:t>
      </w:r>
    </w:p>
    <w:p>
      <w:r>
        <w:t>Methylxanthines are a class of alkaloids that include caffeine, theobromine, and theophylline. These compounds are widely consumed and have significant pharmacological effects.</w:t>
      </w:r>
    </w:p>
    <w:p>
      <w:r>
        <w:rPr>
          <w:b/>
        </w:rPr>
        <w:t>Key objectives of this validation study:</w:t>
      </w:r>
    </w:p>
    <w:p>
      <w:pPr>
        <w:pStyle w:val="ListNumber"/>
      </w:pPr>
      <w:r>
        <w:t>Establish linearity range (10-500 ng/mL)</w:t>
      </w:r>
    </w:p>
    <w:p>
      <w:pPr>
        <w:pStyle w:val="ListNumber"/>
      </w:pPr>
      <w:r>
        <w:t>Determine precision (intra-day and inter-day)</w:t>
      </w:r>
    </w:p>
    <w:p>
      <w:pPr>
        <w:pStyle w:val="ListNumber"/>
      </w:pPr>
      <w:r>
        <w:t>Assess accuracy at QC levels</w:t>
      </w:r>
    </w:p>
    <w:p>
      <w:pPr>
        <w:pStyle w:val="ListNumber"/>
      </w:pPr>
      <w:r>
        <w:t>Evaluate matrix effects</w:t>
      </w:r>
    </w:p>
    <w:p>
      <w:pPr>
        <w:pStyle w:val="Heading2"/>
      </w:pPr>
      <w:r>
        <w:t>2. Materials and Methods</w:t>
      </w:r>
    </w:p>
    <w:p>
      <w:pPr>
        <w:pStyle w:val="Heading3"/>
      </w:pPr>
      <w:r>
        <w:t>2.1 Chemicals and Reagents</w:t>
      </w:r>
    </w:p>
    <w:p>
      <w:r>
        <w:t>All reference standards were purchased from Sigma-Aldrich (purity &gt;98%). HPLC-grade solvents were obtained from Fisher Scientific.</w:t>
      </w:r>
    </w:p>
    <w:p>
      <w:pPr>
        <w:pStyle w:val="Heading3"/>
      </w:pPr>
      <w:r>
        <w:t>2.2 Instrument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Vendor</w:t>
            </w:r>
          </w:p>
        </w:tc>
      </w:tr>
      <w:tr>
        <w:tc>
          <w:tcPr>
            <w:tcW w:type="dxa" w:w="2880"/>
          </w:tcPr>
          <w:p>
            <w:r>
              <w:t>LC System</w:t>
            </w:r>
          </w:p>
        </w:tc>
        <w:tc>
          <w:tcPr>
            <w:tcW w:type="dxa" w:w="2880"/>
          </w:tcPr>
          <w:p>
            <w:r>
              <w:t>1290 Infinity II</w:t>
            </w:r>
          </w:p>
        </w:tc>
        <w:tc>
          <w:tcPr>
            <w:tcW w:type="dxa" w:w="2880"/>
          </w:tcPr>
          <w:p>
            <w:r>
              <w:t>Agilent</w:t>
            </w:r>
          </w:p>
        </w:tc>
      </w:tr>
      <w:tr>
        <w:tc>
          <w:tcPr>
            <w:tcW w:type="dxa" w:w="2880"/>
          </w:tcPr>
          <w:p>
            <w:r>
              <w:t>MS Detector</w:t>
            </w:r>
          </w:p>
        </w:tc>
        <w:tc>
          <w:tcPr>
            <w:tcW w:type="dxa" w:w="2880"/>
          </w:tcPr>
          <w:p>
            <w:r>
              <w:t>6495C QQQ</w:t>
            </w:r>
          </w:p>
        </w:tc>
        <w:tc>
          <w:tcPr>
            <w:tcW w:type="dxa" w:w="2880"/>
          </w:tcPr>
          <w:p>
            <w:r>
              <w:t>Agilent</w:t>
            </w:r>
          </w:p>
        </w:tc>
      </w:tr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C18, 2.1×100mm, 1.8μm</w:t>
            </w:r>
          </w:p>
        </w:tc>
        <w:tc>
          <w:tcPr>
            <w:tcW w:type="dxa" w:w="2880"/>
          </w:tcPr>
          <w:p>
            <w:r>
              <w:t>Waters</w:t>
            </w:r>
          </w:p>
        </w:tc>
      </w:tr>
      <w:tr>
        <w:tc>
          <w:tcPr>
            <w:tcW w:type="dxa" w:w="2880"/>
          </w:tcPr>
          <w:p>
            <w:r>
              <w:t>Autosampler</w:t>
            </w:r>
          </w:p>
        </w:tc>
        <w:tc>
          <w:tcPr>
            <w:tcW w:type="dxa" w:w="2880"/>
          </w:tcPr>
          <w:p>
            <w:r>
              <w:t>Multisampler, 4°C</w:t>
            </w:r>
          </w:p>
        </w:tc>
        <w:tc>
          <w:tcPr>
            <w:tcW w:type="dxa" w:w="2880"/>
          </w:tcPr>
          <w:p>
            <w:r>
              <w:t>Agilent</w:t>
            </w:r>
          </w:p>
        </w:tc>
      </w:tr>
    </w:tbl>
    <w:p>
      <w:pPr>
        <w:jc w:val="center"/>
      </w:pPr>
      <w:r>
        <w:t>Table 1: Instrument configuration for LC-MS/MS analysis</w:t>
      </w:r>
    </w:p>
    <w:p>
      <w:pPr>
        <w:pStyle w:val="Heading3"/>
      </w:pPr>
      <w:r>
        <w:t>2.3 Chromatographic Conditions</w:t>
      </w:r>
    </w:p>
    <w:p>
      <w:pPr>
        <w:pStyle w:val="ListBullet"/>
      </w:pPr>
      <w:r>
        <w:t>Mobile Phase A: 0.1% formic acid in water</w:t>
      </w:r>
    </w:p>
    <w:p>
      <w:pPr>
        <w:pStyle w:val="ListBullet"/>
      </w:pPr>
      <w:r>
        <w:t>Mobile Phase B: 0.1% formic acid in acetonitrile</w:t>
      </w:r>
    </w:p>
    <w:p>
      <w:pPr>
        <w:pStyle w:val="ListBullet"/>
      </w:pPr>
      <w:r>
        <w:t>Flow rate: 0.4 mL/min</w:t>
      </w:r>
    </w:p>
    <w:p>
      <w:pPr>
        <w:pStyle w:val="ListBullet"/>
      </w:pPr>
      <w:r>
        <w:t>Injection volume: 5 μL</w:t>
      </w:r>
    </w:p>
    <w:p>
      <w:pPr>
        <w:pStyle w:val="ListBullet"/>
      </w:pPr>
      <w:r>
        <w:t>Column temperature: 40°C</w:t>
      </w:r>
    </w:p>
    <w:p>
      <w:r>
        <w:br w:type="page"/>
      </w:r>
    </w:p>
    <w:p>
      <w:pPr>
        <w:pStyle w:val="Heading2"/>
      </w:pPr>
      <w:r>
        <w:t>3. Results</w:t>
      </w:r>
    </w:p>
    <w:p>
      <w:pPr>
        <w:pStyle w:val="Heading3"/>
      </w:pPr>
      <w:r>
        <w:t>3.1 Calibration Curve</w:t>
      </w:r>
    </w:p>
    <w:p>
      <w:r>
        <w:t>The calibration curve demonstrated excellent linearity (R² &gt; 0.999) over the concentration range of 10-500 ng/mL.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Analyte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Slope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Intercept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2160"/>
          </w:tcPr>
          <w:p>
            <w:r>
              <w:t>Caffeine</w:t>
            </w:r>
          </w:p>
        </w:tc>
        <w:tc>
          <w:tcPr>
            <w:tcW w:type="dxa" w:w="2160"/>
          </w:tcPr>
          <w:p>
            <w:r>
              <w:t>1023.4</w:t>
            </w:r>
          </w:p>
        </w:tc>
        <w:tc>
          <w:tcPr>
            <w:tcW w:type="dxa" w:w="2160"/>
          </w:tcPr>
          <w:p>
            <w:r>
              <w:t>234.5</w:t>
            </w:r>
          </w:p>
        </w:tc>
        <w:tc>
          <w:tcPr>
            <w:tcW w:type="dxa" w:w="2160"/>
          </w:tcPr>
          <w:p>
            <w:r>
              <w:t>0.9998</w:t>
            </w:r>
          </w:p>
        </w:tc>
      </w:tr>
      <w:tr>
        <w:tc>
          <w:tcPr>
            <w:tcW w:type="dxa" w:w="2160"/>
          </w:tcPr>
          <w:p>
            <w:r>
              <w:t>Theobromine</w:t>
            </w:r>
          </w:p>
        </w:tc>
        <w:tc>
          <w:tcPr>
            <w:tcW w:type="dxa" w:w="2160"/>
          </w:tcPr>
          <w:p>
            <w:r>
              <w:t>892.1</w:t>
            </w:r>
          </w:p>
        </w:tc>
        <w:tc>
          <w:tcPr>
            <w:tcW w:type="dxa" w:w="2160"/>
          </w:tcPr>
          <w:p>
            <w:r>
              <w:t>178.3</w:t>
            </w:r>
          </w:p>
        </w:tc>
        <w:tc>
          <w:tcPr>
            <w:tcW w:type="dxa" w:w="2160"/>
          </w:tcPr>
          <w:p>
            <w:r>
              <w:t>0.9995</w:t>
            </w:r>
          </w:p>
        </w:tc>
      </w:tr>
      <w:tr>
        <w:tc>
          <w:tcPr>
            <w:tcW w:type="dxa" w:w="2160"/>
          </w:tcPr>
          <w:p>
            <w:r>
              <w:t>Theophylline</w:t>
            </w:r>
          </w:p>
        </w:tc>
        <w:tc>
          <w:tcPr>
            <w:tcW w:type="dxa" w:w="2160"/>
          </w:tcPr>
          <w:p>
            <w:r>
              <w:t>956.7</w:t>
            </w:r>
          </w:p>
        </w:tc>
        <w:tc>
          <w:tcPr>
            <w:tcW w:type="dxa" w:w="2160"/>
          </w:tcPr>
          <w:p>
            <w:r>
              <w:t>201.2</w:t>
            </w:r>
          </w:p>
        </w:tc>
        <w:tc>
          <w:tcPr>
            <w:tcW w:type="dxa" w:w="2160"/>
          </w:tcPr>
          <w:p>
            <w:r>
              <w:t>0.9997</w:t>
            </w:r>
          </w:p>
        </w:tc>
      </w:tr>
    </w:tbl>
    <w:p>
      <w:pPr>
        <w:jc w:val="center"/>
      </w:pPr>
      <w:r>
        <w:t>Table 2: Calibration curve regression parameters</w:t>
      </w:r>
    </w:p>
    <w:p>
      <w:pPr>
        <w:pStyle w:val="Heading3"/>
      </w:pPr>
      <w:r>
        <w:t>3.2 Precision and Accuracy</w:t>
      </w:r>
    </w:p>
    <w:p>
      <w:r>
        <w:rPr>
          <w:i/>
        </w:rPr>
        <w:t>Intra-day and inter-day precision were evaluated at three QC levels (low, medium, high). All %CV values were below 15%, meeting FDA bioanalytical method validation criteria.</w:t>
      </w:r>
    </w:p>
    <w:p>
      <w:r>
        <w:br w:type="page"/>
      </w:r>
    </w:p>
    <w:p>
      <w:pPr>
        <w:pStyle w:val="Heading2"/>
      </w:pPr>
      <w:r>
        <w:t>4. Conclusions</w:t>
      </w:r>
    </w:p>
    <w:p>
      <w:r>
        <w:rPr>
          <w:b/>
        </w:rPr>
        <w:t>The developed LC-MS/MS method meets all validation criteria and is suitable for routine analysis of methylxanthines in biological samples.</w:t>
      </w:r>
    </w:p>
    <w:p>
      <w:pPr>
        <w:pStyle w:val="Heading2"/>
      </w:pPr>
      <w:r>
        <w:t>5. References</w:t>
      </w:r>
    </w:p>
    <w:p>
      <w:pPr>
        <w:pStyle w:val="ListNumber"/>
      </w:pPr>
      <w:r>
        <w:t>FDA Guidance for Industry: Bioanalytical Method Validation (2018)</w:t>
      </w:r>
    </w:p>
    <w:p>
      <w:pPr>
        <w:pStyle w:val="ListNumber"/>
      </w:pPr>
      <w:r>
        <w:t>ICH M10: Bioanalytical Method Validation (2019)</w:t>
      </w:r>
    </w:p>
    <w:p>
      <w:pPr>
        <w:pStyle w:val="ListNumber"/>
      </w:pPr>
      <w:r>
        <w:t>Smith J, et al. J Chromatogr B. 2023;1234:123456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