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visionNote"/>
      </w:pPr>
      <w:r>
        <w:rPr>
          <w:b/>
        </w:rPr>
        <w:t>MINUTA PARA DISCUSSÃO — REV. 2 · 20/05/2026</w:t>
        <w:br/>
      </w:r>
      <w:r>
        <w:rPr>
          <w:b w:val="0"/>
          <w:color w:val="1E40AF"/>
          <w:sz w:val="20"/>
        </w:rPr>
        <w:t>Esta versão ajusta o objeto contratual para refletir a operação como plataforma de serviços educacionais digitais, com recolhimento regular de ISS, PIS e COFINS. Foram removidas as referências à imunidade tributária de livros digitais (art. 150, VI, "d" CF), à Lei do Livro (nº 10.753/2003) e ao regime editorial (ISBN, Biblioteca Nacional, CNAE 5811-5/00). Itens em [DESTAQUE] dependem de confirmação das Partes.</w:t>
      </w:r>
    </w:p>
    <w:p>
      <w:pPr>
        <w:pStyle w:val="DocTitle"/>
      </w:pPr>
      <w:r>
        <w:t>Contrato de Intermediação de Negócios</w:t>
        <w:br/>
        <w:t>com Exclusividade e Outras Avenças</w:t>
      </w:r>
    </w:p>
    <w:p>
      <w:pPr>
        <w:pStyle w:val="SectionHead"/>
      </w:pPr>
      <w:r>
        <w:t>Identificação das Partes</w:t>
      </w:r>
    </w:p>
    <w:p>
      <w:pPr>
        <w:pStyle w:val="Body"/>
        <w:jc w:val="both"/>
      </w:pPr>
      <w:r>
        <w:rPr>
          <w:b/>
        </w:rPr>
        <w:t xml:space="preserve">VENDEDORA: </w:t>
      </w:r>
      <w:r>
        <w:t xml:space="preserve">WOLI TECNOLOGIA E GESTÃO LTDA., pessoa jurídica de direito privado, inscrita no CNPJ sob o nº 05.389.441/0001-40, sediada na Av. João Moreira Sales, nº 690, sala 03, Bairro Arasol, Araxá/MG, CEP 38.182-264; neste ato, representada por quem de direito, doravante denominada simplesmente </w:t>
      </w:r>
      <w:r>
        <w:rPr>
          <w:b/>
        </w:rPr>
        <w:t>"VENDEDORA"</w:t>
      </w:r>
      <w:r>
        <w:t>.</w:t>
      </w:r>
    </w:p>
    <w:p>
      <w:pPr>
        <w:pStyle w:val="Body"/>
        <w:jc w:val="both"/>
      </w:pPr>
      <w:r>
        <w:rPr>
          <w:b/>
        </w:rPr>
        <w:t xml:space="preserve">INTERMEDIADORAS: </w:t>
      </w:r>
      <w:r>
        <w:rPr>
          <w:b/>
        </w:rPr>
        <w:t>CASAS BAHIA PAY EDUCAÇÃO LTDA.</w:t>
      </w:r>
      <w:r>
        <w:t xml:space="preserve">, pessoa jurídica de direito privado, inscrita no CNPJ sob nº 44.342.767/0001-74, sediada na Av. das Nações Unidas, nº 12.995, 2º Andar – Bloco 1 – Conjuntos 1 e 3, Brooklin Paulista, São Paulo/SP, CEP 04.578-911, neste ato, representada por quem de direito; e </w:t>
      </w:r>
      <w:r>
        <w:rPr>
          <w:b/>
          <w:color w:val="92400E"/>
        </w:rPr>
        <w:t>[CASAS BAHIA — RAZÃO SOCIAL COMPLETA A CONFIRMAR]</w:t>
      </w:r>
      <w:r>
        <w:t xml:space="preserve">, pessoa jurídica de direito privado, inscrita no CNPJ sob nº </w:t>
      </w:r>
      <w:r>
        <w:rPr>
          <w:color w:val="92400E"/>
        </w:rPr>
        <w:t>[A PREENCHER]</w:t>
      </w:r>
      <w:r>
        <w:t xml:space="preserve">, sediada em </w:t>
      </w:r>
      <w:r>
        <w:rPr>
          <w:color w:val="92400E"/>
        </w:rPr>
        <w:t>[ENDEREÇO COMPLETO A PREENCHER]</w:t>
      </w:r>
      <w:r>
        <w:t xml:space="preserve">; doravante denominadas, em conjunto, </w:t>
      </w:r>
      <w:r>
        <w:rPr>
          <w:b/>
        </w:rPr>
        <w:t>"INTERMEDIADORAS"</w:t>
      </w:r>
      <w:r>
        <w:t>.</w:t>
      </w:r>
    </w:p>
    <w:p>
      <w:pPr>
        <w:pStyle w:val="Body"/>
        <w:jc w:val="both"/>
      </w:pPr>
      <w:r>
        <w:t xml:space="preserve">VENDEDORA e INTERMEDIADORAS são em conjunto denominadas </w:t>
      </w:r>
      <w:r>
        <w:rPr>
          <w:b/>
        </w:rPr>
        <w:t>"Partes"</w:t>
      </w:r>
      <w:r>
        <w:t xml:space="preserve"> e individualmente </w:t>
      </w:r>
      <w:r>
        <w:rPr>
          <w:b/>
        </w:rPr>
        <w:t>"Parte"</w:t>
      </w:r>
      <w:r>
        <w:t>.</w:t>
      </w:r>
    </w:p>
    <w:p>
      <w:pPr>
        <w:pStyle w:val="SectionHead"/>
      </w:pPr>
      <w:r>
        <w:t>Quadro Resumo</w:t>
      </w:r>
    </w:p>
    <w:tbl>
      <w:tblPr>
        <w:tblStyle w:val="TableGrid"/>
        <w:tblW w:type="auto" w:w="0"/>
        <w:tblLook w:firstColumn="1" w:firstRow="1" w:lastColumn="0" w:lastRow="0" w:noHBand="0" w:noVBand="1" w:val="04A0"/>
      </w:tblPr>
      <w:tblGrid>
        <w:gridCol w:w="3118"/>
        <w:gridCol w:w="6236"/>
      </w:tblGrid>
      <w:tr>
        <w:tc>
          <w:tcPr>
            <w:tcW w:type="dxa" w:w="3118"/>
          </w:tcPr>
          <w:p>
            <w:pPr/>
            <w:r>
              <w:rPr>
                <w:b/>
                <w:sz w:val="20"/>
              </w:rPr>
              <w:t>1. Objeto do Contrato</w:t>
            </w:r>
          </w:p>
        </w:tc>
        <w:tc>
          <w:tcPr>
            <w:tcW w:type="dxa" w:w="6236"/>
          </w:tcPr>
          <w:p>
            <w:pPr/>
            <w:r>
              <w:rPr>
                <w:sz w:val="20"/>
              </w:rPr>
              <w:t>Formalizar e regulamentar as operações de acesso à plataforma de serviços educacionais digitais da VENDEDORA, disponibilizados às INTERMEDIADORAS e seus clientes finais.</w:t>
            </w:r>
          </w:p>
        </w:tc>
      </w:tr>
      <w:tr>
        <w:tc>
          <w:tcPr>
            <w:tcW w:type="dxa" w:w="3118"/>
          </w:tcPr>
          <w:p>
            <w:pPr/>
            <w:r>
              <w:rPr>
                <w:b/>
                <w:sz w:val="20"/>
              </w:rPr>
              <w:t>1.1. Formato de vendas</w:t>
            </w:r>
          </w:p>
        </w:tc>
        <w:tc>
          <w:tcPr>
            <w:tcW w:type="dxa" w:w="6236"/>
          </w:tcPr>
          <w:p>
            <w:pPr/>
            <w:r>
              <w:rPr>
                <w:sz w:val="20"/>
              </w:rPr>
              <w:t>Vendas realizadas mediante faturamento direto pela VENDEDORA ao cliente final das INTERMEDIADORAS.</w:t>
            </w:r>
          </w:p>
        </w:tc>
      </w:tr>
      <w:tr>
        <w:tc>
          <w:tcPr>
            <w:tcW w:type="dxa" w:w="3118"/>
          </w:tcPr>
          <w:p>
            <w:pPr/>
            <w:r>
              <w:rPr>
                <w:b/>
                <w:sz w:val="20"/>
              </w:rPr>
              <w:t>1.2. Responsabilidade pelo sorteio</w:t>
            </w:r>
          </w:p>
        </w:tc>
        <w:tc>
          <w:tcPr>
            <w:tcW w:type="dxa" w:w="6236"/>
          </w:tcPr>
          <w:p>
            <w:pPr/>
            <w:r>
              <w:rPr>
                <w:sz w:val="20"/>
              </w:rPr>
              <w:t>Exclusiva da VENDEDORA, nos termos da Cláusula 4ª.</w:t>
            </w:r>
          </w:p>
        </w:tc>
      </w:tr>
      <w:tr>
        <w:tc>
          <w:tcPr>
            <w:tcW w:type="dxa" w:w="3118"/>
          </w:tcPr>
          <w:p>
            <w:pPr/>
            <w:r>
              <w:rPr>
                <w:b/>
                <w:sz w:val="20"/>
              </w:rPr>
              <w:t>1.3. Volume Mínimo — apuração</w:t>
            </w:r>
          </w:p>
        </w:tc>
        <w:tc>
          <w:tcPr>
            <w:tcW w:type="dxa" w:w="6236"/>
          </w:tcPr>
          <w:p>
            <w:pPr/>
            <w:r>
              <w:rPr>
                <w:sz w:val="20"/>
              </w:rPr>
              <w:t>Volume Total = valor bruto faturado pela VENDEDORA, deduzidos devoluções, cancelamentos e estornos/chargebacks. Relatório mensal de conciliação fornecido pelas INTERMEDIADORAS.</w:t>
            </w:r>
          </w:p>
        </w:tc>
      </w:tr>
      <w:tr>
        <w:tc>
          <w:tcPr>
            <w:tcW w:type="dxa" w:w="3118"/>
          </w:tcPr>
          <w:p>
            <w:pPr/>
            <w:r>
              <w:rPr>
                <w:b/>
                <w:sz w:val="20"/>
              </w:rPr>
              <w:t>1.4. Fluxo Venda e Operacional</w:t>
            </w:r>
          </w:p>
        </w:tc>
        <w:tc>
          <w:tcPr>
            <w:tcW w:type="dxa" w:w="6236"/>
          </w:tcPr>
          <w:p>
            <w:pPr/>
            <w:r>
              <w:rPr>
                <w:sz w:val="20"/>
              </w:rPr>
              <w:t>Vide Anexos II e III.</w:t>
            </w:r>
          </w:p>
        </w:tc>
      </w:tr>
      <w:tr>
        <w:tc>
          <w:tcPr>
            <w:tcW w:type="dxa" w:w="3118"/>
          </w:tcPr>
          <w:p>
            <w:pPr/>
            <w:r>
              <w:rPr>
                <w:b/>
                <w:sz w:val="20"/>
              </w:rPr>
              <w:t>2.1. Valor unitário por SKU</w:t>
            </w:r>
          </w:p>
        </w:tc>
        <w:tc>
          <w:tcPr>
            <w:tcW w:type="dxa" w:w="6236"/>
          </w:tcPr>
          <w:p>
            <w:pPr/>
            <w:r>
              <w:rPr>
                <w:sz w:val="20"/>
              </w:rPr>
              <w:t>[Ver Anexo I — tabela de preços por SKU]</w:t>
            </w:r>
          </w:p>
        </w:tc>
      </w:tr>
      <w:tr>
        <w:tc>
          <w:tcPr>
            <w:tcW w:type="dxa" w:w="3118"/>
          </w:tcPr>
          <w:p>
            <w:pPr/>
            <w:r>
              <w:rPr>
                <w:b/>
                <w:sz w:val="20"/>
              </w:rPr>
              <w:t>2.2. Volume mínimo</w:t>
            </w:r>
          </w:p>
        </w:tc>
        <w:tc>
          <w:tcPr>
            <w:tcW w:type="dxa" w:w="6236"/>
          </w:tcPr>
          <w:p>
            <w:pPr/>
            <w:r>
              <w:rPr>
                <w:sz w:val="20"/>
              </w:rPr>
              <w:t>6.600.000 (seis milhões e seiscentos mil) acessos ao longo do contrato.</w:t>
            </w:r>
          </w:p>
        </w:tc>
      </w:tr>
      <w:tr>
        <w:tc>
          <w:tcPr>
            <w:tcW w:type="dxa" w:w="3118"/>
          </w:tcPr>
          <w:p>
            <w:pPr/>
            <w:r>
              <w:rPr>
                <w:b/>
                <w:sz w:val="20"/>
              </w:rPr>
              <w:t>2.3. SETUP inicial</w:t>
            </w:r>
          </w:p>
        </w:tc>
        <w:tc>
          <w:tcPr>
            <w:tcW w:type="dxa" w:w="6236"/>
          </w:tcPr>
          <w:p>
            <w:pPr/>
            <w:r>
              <w:rPr>
                <w:sz w:val="20"/>
              </w:rPr>
              <w:t>Até R$ 900.000,00 (novecentos mil reais) — despendido pela VENDEDORA.</w:t>
            </w:r>
          </w:p>
        </w:tc>
      </w:tr>
      <w:tr>
        <w:tc>
          <w:tcPr>
            <w:tcW w:type="dxa" w:w="3118"/>
          </w:tcPr>
          <w:p>
            <w:pPr/>
            <w:r>
              <w:rPr>
                <w:b/>
                <w:sz w:val="20"/>
              </w:rPr>
              <w:t>2.4. Premiação mensal</w:t>
            </w:r>
          </w:p>
        </w:tc>
        <w:tc>
          <w:tcPr>
            <w:tcW w:type="dxa" w:w="6236"/>
          </w:tcPr>
          <w:p>
            <w:pPr/>
            <w:r>
              <w:rPr>
                <w:sz w:val="20"/>
              </w:rPr>
              <w:t>R$ 120.000,00 (cento e vinte mil reais) — valor líquido ao ganhador.</w:t>
            </w:r>
          </w:p>
        </w:tc>
      </w:tr>
      <w:tr>
        <w:tc>
          <w:tcPr>
            <w:tcW w:type="dxa" w:w="3118"/>
          </w:tcPr>
          <w:p>
            <w:pPr/>
            <w:r>
              <w:rPr>
                <w:b/>
                <w:sz w:val="20"/>
              </w:rPr>
              <w:t>3.1.1. Fluxo de pagamento</w:t>
            </w:r>
          </w:p>
        </w:tc>
        <w:tc>
          <w:tcPr>
            <w:tcW w:type="dxa" w:w="6236"/>
          </w:tcPr>
          <w:p>
            <w:pPr/>
            <w:r>
              <w:rPr>
                <w:sz w:val="20"/>
              </w:rPr>
              <w:t>Clientes finais pagam às INTERMEDIADORAS → VENDEDORA emite NF de serviços ao cliente → acerto financeiro mensal no dia 20 → INTERMEDIADORAS enviam NF de agenciamento à VENDEDORA → INTERMEDIADORAS efetuam repasse à VENDEDORA → pagamento em 5 dias corridos do recebimento da NF.</w:t>
            </w:r>
          </w:p>
        </w:tc>
      </w:tr>
      <w:tr>
        <w:tc>
          <w:tcPr>
            <w:tcW w:type="dxa" w:w="3118"/>
          </w:tcPr>
          <w:p>
            <w:pPr/>
            <w:r>
              <w:rPr>
                <w:b/>
                <w:sz w:val="20"/>
              </w:rPr>
              <w:t>3.2. Datas em dia não útil</w:t>
            </w:r>
          </w:p>
        </w:tc>
        <w:tc>
          <w:tcPr>
            <w:tcW w:type="dxa" w:w="6236"/>
          </w:tcPr>
          <w:p>
            <w:pPr/>
            <w:r>
              <w:rPr>
                <w:sz w:val="20"/>
              </w:rPr>
              <w:t>Envio de NF: antecipado ao 1º dia útil anterior. Pagamento: prorrogado ao 1º dia útil subsequente.</w:t>
            </w:r>
          </w:p>
        </w:tc>
      </w:tr>
      <w:tr>
        <w:tc>
          <w:tcPr>
            <w:tcW w:type="dxa" w:w="3118"/>
          </w:tcPr>
          <w:p>
            <w:pPr/>
            <w:r>
              <w:rPr>
                <w:b/>
                <w:sz w:val="20"/>
              </w:rPr>
              <w:t>4. Prazo de Vigência</w:t>
            </w:r>
          </w:p>
        </w:tc>
        <w:tc>
          <w:tcPr>
            <w:tcW w:type="dxa" w:w="6236"/>
          </w:tcPr>
          <w:p>
            <w:pPr/>
            <w:r>
              <w:rPr>
                <w:sz w:val="20"/>
              </w:rPr>
              <w:t>60 (sessenta) meses a contar da data da primeira venda efetivada.</w:t>
            </w:r>
          </w:p>
        </w:tc>
      </w:tr>
      <w:tr>
        <w:tc>
          <w:tcPr>
            <w:tcW w:type="dxa" w:w="3118"/>
          </w:tcPr>
          <w:p>
            <w:pPr/>
            <w:r>
              <w:rPr>
                <w:b/>
                <w:sz w:val="20"/>
              </w:rPr>
              <w:t>4.1. Portal de acesso</w:t>
            </w:r>
          </w:p>
        </w:tc>
        <w:tc>
          <w:tcPr>
            <w:tcW w:type="dxa" w:w="6236"/>
          </w:tcPr>
          <w:p>
            <w:pPr/>
            <w:r>
              <w:rPr>
                <w:sz w:val="20"/>
              </w:rPr>
              <w:t>[URL DA PLATAFORMA A CONFIRMAR]</w:t>
            </w:r>
          </w:p>
        </w:tc>
      </w:tr>
    </w:tbl>
    <w:p/>
    <w:p>
      <w:pPr>
        <w:pStyle w:val="SectionHead"/>
      </w:pPr>
      <w:r>
        <w:t>1. Definições</w:t>
      </w:r>
    </w:p>
    <w:p>
      <w:pPr>
        <w:pStyle w:val="Body"/>
      </w:pPr>
      <w:r>
        <w:t>"Acesso ao Curso" ou "Curso": serviço de disponibilização de conteúdo educacional digital, em formato eletrônico, pela VENDEDORA ao CLIENTE, por meio de plataforma digital própria, pelo prazo correspondente ao SKU adquirido. O conteúdo é disponibilizado em ambiente online controlado pela VENDEDORA, configurando prestação de serviço educacional digital.</w:t>
      </w:r>
    </w:p>
    <w:p>
      <w:pPr>
        <w:pStyle w:val="Body"/>
      </w:pPr>
      <w:r>
        <w:t>"Kit de Cursos" ou "Kit" ou "SKU": produto comercial correspondente ao direito de acesso a 1 (um), 12 (doze), 18 (dezoito) ou 24 (vinte e quatro) conteúdos educacionais digitais disponíveis na plataforma da VENDEDORA, conforme tabela do Anexo I.</w:t>
      </w:r>
    </w:p>
    <w:p>
      <w:pPr>
        <w:pStyle w:val="Body"/>
      </w:pPr>
      <w:r>
        <w:t>"Plataforma": ambiente digital de titularidade, operação e gestão exclusiva da VENDEDORA, customizado com a identidade visual da INTERVENIENTE ANUENTE, no qual o CLIENTE acessa o catálogo de conteúdos e realiza o consumo dos títulos contratados, sem que tal customização implique cessão, transferência ou licenciamento da propriedade da plataforma.</w:t>
      </w:r>
    </w:p>
    <w:p>
      <w:pPr>
        <w:pStyle w:val="Body"/>
      </w:pPr>
      <w:r>
        <w:t>"Número da Sorte": código individual de participação promocional vinculado ao CLIENTE, emitido para fins de participação no sorteio do prêmio promocional previsto neste Contrato e no Regulamento aplicável.</w:t>
      </w:r>
    </w:p>
    <w:p>
      <w:pPr>
        <w:pStyle w:val="Body"/>
      </w:pPr>
      <w:r>
        <w:t>"Cliente" ou "Cliente Final": pessoa física consumidora final que adquire o Kit no canal de venda da INTERVENIENTE ANUENTE.</w:t>
      </w:r>
    </w:p>
    <w:p>
      <w:pPr>
        <w:pStyle w:val="SectionHead"/>
      </w:pPr>
      <w:r>
        <w:t>2. Considerações Iniciais</w:t>
      </w:r>
    </w:p>
    <w:p>
      <w:pPr>
        <w:pStyle w:val="Body"/>
      </w:pPr>
      <w:r>
        <w:t>Considerando que:</w:t>
      </w:r>
    </w:p>
    <w:p>
      <w:pPr>
        <w:pStyle w:val="Body"/>
      </w:pPr>
      <w:r>
        <w:t>a) A VENDEDORA possui expertise em educação a distância, opera plataforma de serviços educacionais digitais, disponibilizando conteúdos ao público consumidor final por meio de ambiente digital próprio, operado e customizado com a identidade visual da INTERVENIENTE ANUENTE;</w:t>
      </w:r>
    </w:p>
    <w:p>
      <w:pPr>
        <w:pStyle w:val="Body"/>
      </w:pPr>
      <w:r>
        <w:t>b) A 1ª INTERMEDIADORA é uma instituição de pagamento autorizada pelo Banco Central do Brasil e dispõe de estrutura comercial e operacional para intermediação de negócios entre a VENDEDORA e os clientes finais nas redes da 2ª INTERMEDIADORA; e</w:t>
      </w:r>
    </w:p>
    <w:p>
      <w:pPr>
        <w:pStyle w:val="Body"/>
      </w:pPr>
      <w:r>
        <w:t>c) A 2ª INTERMEDIADORA dispõe de canal físico de varejo consolidado e atua como ambiente onde a operação é realizada, executando funções operacionais específicas descritas na Cláusula 11ª.</w:t>
      </w:r>
    </w:p>
    <w:p>
      <w:pPr>
        <w:pStyle w:val="Body"/>
      </w:pPr>
      <w:r>
        <w:t>As Partes, de comum acordo, estabelecem as seguintes cláusulas:</w:t>
      </w:r>
    </w:p>
    <w:p>
      <w:pPr>
        <w:pStyle w:val="ClauseTitle"/>
      </w:pPr>
      <w:r>
        <w:t>Cláusula 1ª – Do Objeto</w:t>
      </w:r>
    </w:p>
    <w:p>
      <w:pPr>
        <w:pStyle w:val="Body"/>
      </w:pPr>
      <w:r>
        <w:t>1.1. O presente Contrato tem por objeto a intermediação de negócios envolvendo a comercialização, em caráter exclusivo, dos Kits de titularidade da VENDEDORA, no canal físico da 2ª INTERMEDIADORA, mediante atuação da 1ª INTERMEDIADORA como agente de intermediação comercial e financeira, conforme as condições comerciais previstas na tabela do Anexo I, parte integrante deste instrumento.</w:t>
      </w:r>
    </w:p>
    <w:p>
      <w:pPr>
        <w:pStyle w:val="Body"/>
      </w:pPr>
      <w:r>
        <w:t>1.2. O acesso aos Kits será disponibilizado aos clientes finais por meio de plataforma digital de titularidade, operação e gestão exclusiva da VENDEDORA, customizada com a identidade visual da 2ª INTERMEDIADORA, observadas as diretrizes de marca e especificações por ela formalmente fornecidas, sem que tal customização implique cessão ou licenciamento da propriedade da plataforma.</w:t>
      </w:r>
    </w:p>
    <w:p>
      <w:pPr>
        <w:pStyle w:val="Body"/>
      </w:pPr>
      <w:r>
        <w:t>1.3. Disponibilidade e acesso aos conteúdos</w:t>
      </w:r>
    </w:p>
    <w:p>
      <w:pPr>
        <w:pStyle w:val="Sub"/>
        <w:ind w:left="567"/>
      </w:pPr>
      <w:r>
        <w:t>1.3.1. Após a aquisição do SKU, a VENDEDORA disponibilizará de imediato, na plataforma, o acesso ao catálogo de conteúdos educacionais digitais, pelo prazo correspondente ao SKU adquirido (1, 12, 18 ou 24 meses), acrescido de 90 (noventa) dias adicionais.</w:t>
      </w:r>
    </w:p>
    <w:p>
      <w:pPr>
        <w:pStyle w:val="Sub"/>
        <w:ind w:left="567"/>
      </w:pPr>
      <w:r>
        <w:t>1.3.2. A quantidade de conteúdos que o CLIENTE poderá acessar é definida pelo SKU adquirido, conforme tabela do Anexo I, sendo de 1, 12, 18 ou 24 acessos, respectivamente para os SKUs 1, 2, 3 e 4.</w:t>
      </w:r>
    </w:p>
    <w:p>
      <w:pPr>
        <w:pStyle w:val="Sub"/>
        <w:ind w:left="567"/>
      </w:pPr>
      <w:r>
        <w:t>1.3.3. O CLIENTE poderá realizar os acessos a qualquer momento dentro do prazo contratado, sem limite mensal, observado o limite total de créditos do SKU. Os créditos não utilizados ao final do prazo (incluídos os 90 dias adicionais) serão considerados caducados, sem direito a reembolso, prorrogação ou compensação.</w:t>
      </w:r>
    </w:p>
    <w:p>
      <w:pPr>
        <w:pStyle w:val="Sub"/>
        <w:ind w:left="567"/>
      </w:pPr>
      <w:r>
        <w:t>1.3.4. Os 90 (noventa) dias adicionais aplicam-se exclusivamente ao acesso aos conteúdos, não conferindo direito a sorteios adicionais ou outras vantagens promocionais.</w:t>
      </w:r>
    </w:p>
    <w:p>
      <w:pPr>
        <w:pStyle w:val="Sub"/>
        <w:ind w:left="567"/>
      </w:pPr>
      <w:r>
        <w:t>1.3.5. O acesso aos conteúdos é disponibilizado por meio de plataforma online, configurando prestação de serviço educacional digital. A VENDEDORA declara e garante que recolherá os tributos incidentes sobre a operação — ISS, PIS e COFINS — de acordo com a legislação aplicável e o regime tributário adotado, responsabilizando-se integralmente pelas obrigações fiscais decorrentes.</w:t>
      </w:r>
    </w:p>
    <w:p>
      <w:pPr>
        <w:pStyle w:val="Sub"/>
        <w:ind w:left="567"/>
      </w:pPr>
      <w:r>
        <w:t>1.3.6. O acesso e os conteúdos destinam-se exclusivamente ao uso pessoal do CLIENTE, sendo vedados a reprodução, distribuição, compartilhamento, disponibilização pública, revenda ou qualquer forma de exploração comercial, salvo autorização expressa.</w:t>
      </w:r>
    </w:p>
    <w:p>
      <w:pPr>
        <w:pStyle w:val="Sub"/>
        <w:ind w:left="567"/>
      </w:pPr>
      <w:r>
        <w:t>1.3.7. O presente Contrato não implica cessão de direitos autorais ou de propriedade intelectual sobre os conteúdos, conferindo ao CLIENTE apenas licença de uso pessoal.</w:t>
      </w:r>
    </w:p>
    <w:p>
      <w:pPr>
        <w:pStyle w:val="Sub"/>
        <w:ind w:left="567"/>
      </w:pPr>
      <w:r>
        <w:t>1.3.8. A plataforma exibirá ao CLIENTE, de forma clara e acessível, o prazo restante de acesso e o saldo de créditos disponíveis.</w:t>
      </w:r>
    </w:p>
    <w:p>
      <w:pPr>
        <w:pStyle w:val="Body"/>
      </w:pPr>
      <w:r>
        <w:t>1.4. Da Jornada Operacional</w:t>
      </w:r>
    </w:p>
    <w:p>
      <w:pPr>
        <w:pStyle w:val="Sub"/>
        <w:ind w:left="567"/>
      </w:pPr>
      <w:r>
        <w:t>1.4.1. A execução operacional observará o fluxo descrito no Anexo III — Jornada Operacional Woli × Casas Bahia Pay × Casas Bahia, organizado em 5 (cinco) fases, parte integrante deste instrumento.</w:t>
      </w:r>
    </w:p>
    <w:p>
      <w:pPr>
        <w:pStyle w:val="Sub"/>
        <w:ind w:left="567"/>
      </w:pPr>
      <w:r>
        <w:t>1.4.2. As Partes obrigam-se a executar suas respectivas atribuições conforme o Anexo II, observadas as obrigações específicas previstas nas Cláusulas 5ª, 6ª e 11ª.</w:t>
      </w:r>
    </w:p>
    <w:p>
      <w:pPr>
        <w:pStyle w:val="ClauseTitle"/>
      </w:pPr>
      <w:r>
        <w:t>Cláusula 2ª – Dos Valores, das Penalidades e dos Reajustes</w:t>
      </w:r>
    </w:p>
    <w:p>
      <w:pPr>
        <w:pStyle w:val="Body"/>
      </w:pPr>
      <w:r>
        <w:t>2.1. Os valores devidos pela aquisição de cada Kit observarão o disposto no Quadro Resumo e no Anexo I.</w:t>
      </w:r>
    </w:p>
    <w:p>
      <w:pPr>
        <w:pStyle w:val="Body"/>
      </w:pPr>
      <w:r>
        <w:t>2.2. O pagamento a ser efetuado pelas INTERMEDIADORAS à VENDEDORA deverá ocorrer nas datas estipuladas, por meio de boleto, transferência bancária e/ou PIX, sendo considerado quitado somente após a efetiva compensação em conta.</w:t>
      </w:r>
    </w:p>
    <w:p>
      <w:pPr>
        <w:pStyle w:val="Body"/>
      </w:pPr>
      <w:r>
        <w:t>2.3. Em caso de atraso, incidirá multa moratória de 2% (dois por cento), acrescida de juros de 1% (um por cento) ao mês pro rata die e correção pelo IPCA, até a efetiva quitação.</w:t>
      </w:r>
    </w:p>
    <w:p>
      <w:pPr>
        <w:pStyle w:val="Body"/>
      </w:pPr>
      <w:r>
        <w:t>2.4. Caso o atraso ultrapasse 15 (quinze) dias corridos, a VENDEDORA poderá suspender novas vendas e a realização de novos sorteios até a quitação integral.</w:t>
      </w:r>
    </w:p>
    <w:p>
      <w:pPr>
        <w:pStyle w:val="Body"/>
      </w:pPr>
      <w:r>
        <w:t>2.5. Os valores serão reajustados anualmente pelo IPCA. Na ausência de variação positiva, as Partes escolherão outro índice positivo.</w:t>
      </w:r>
    </w:p>
    <w:p>
      <w:pPr>
        <w:pStyle w:val="Body"/>
      </w:pPr>
      <w:r>
        <w:t>2.6. Alterações na legislação tributária que impactem este Contrato serão repassadas às INTERMEDIADORAS mediante comunicação prévia com antecedência mínima de 10 (dez) dias.</w:t>
      </w:r>
    </w:p>
    <w:p>
      <w:pPr>
        <w:pStyle w:val="ClauseTitle"/>
      </w:pPr>
      <w:r>
        <w:t>Cláusula 3ª – Da Retenção de ISS e Indenização à Vendedora</w:t>
      </w:r>
    </w:p>
    <w:p>
      <w:pPr>
        <w:pStyle w:val="Body"/>
      </w:pPr>
      <w:r>
        <w:t>3.1. Na hipótese de o Município sede da VENDEDORA exigir das INTERMEDIADORAS a retenção e recolhimento do ISS incidente sobre os serviços objeto deste Contrato, e desde que as INTERMEDIADORAS também fiquem obrigadas ao recolhimento do mesmo ISS em seus próprios Municípios, as INTERMEDIADORAS obrigam-se a indenizar e/ou reembolsar integralmente a VENDEDORA pelo montante retido em duplicidade.</w:t>
      </w:r>
    </w:p>
    <w:p>
      <w:pPr>
        <w:pStyle w:val="Body"/>
      </w:pPr>
      <w:r>
        <w:t>3.2. A indenização/reembolso deverá ser paga em até 5 (cinco) dias úteis contados do recebimento de notificação escrita da VENDEDORA, acompanhada dos respectivos comprovantes.</w:t>
      </w:r>
    </w:p>
    <w:p>
      <w:pPr>
        <w:pStyle w:val="Body"/>
      </w:pPr>
      <w:r>
        <w:t>3.3. A obrigação de indenizar abrangerá, ainda, multa, juros, correção monetária e encargos diretamente relacionados à exigência de recolhimento em duplicidade, facultando-se às Partes adotar as medidas administrativas ou judiciais cabíveis.</w:t>
      </w:r>
    </w:p>
    <w:p>
      <w:pPr>
        <w:pStyle w:val="ClauseTitle"/>
      </w:pPr>
      <w:r>
        <w:t>Cláusula 4ª – Do Sorteio de Prêmios na Modalidade Incentivo</w:t>
      </w:r>
    </w:p>
    <w:p>
      <w:pPr>
        <w:pStyle w:val="Body"/>
      </w:pPr>
      <w:r>
        <w:t>4.1. Objetivando o incremento das vendas, todos os CLIENTES que adquirirem os Kits na Campanha "VEM APRENDER COMIGO" e permanecerem adimplentes receberão, sem ônus adicional, 1 (um) título de capitalização "série fechada" (com garantia de ganhador), na modalidade incentivo, com direito a participação em 1 (um) sorteio no valor total de R$ 120.000,00 (cento e vinte mil reais) — líquidos — para cada conteúdo adquirido.</w:t>
      </w:r>
    </w:p>
    <w:p>
      <w:pPr>
        <w:pStyle w:val="Sub"/>
        <w:ind w:left="567"/>
      </w:pPr>
      <w:r>
        <w:t>4.1.1. A subscrição e cessão dos referidos títulos está de acordo com as Circulares SUSEP nº 376/2008 e nº 365/2008. A cessão será realizada de forma gratuita e o sorteio mensal ocorrerá conforme regulamento disponível no site indicado pelas Partes.</w:t>
      </w:r>
    </w:p>
    <w:p>
      <w:pPr>
        <w:pStyle w:val="Body"/>
      </w:pPr>
      <w:r>
        <w:t>4.2. A VENDEDORA disponibilizará os Kits com os números da sorte correspondentes, nas quantidades de 1, 12, 18 ou 24 unidades. Para cada conteúdo entregue, o CLIENTE receberá 1 (um) número da sorte.</w:t>
      </w:r>
    </w:p>
    <w:p>
      <w:pPr>
        <w:pStyle w:val="ClauseTitle"/>
      </w:pPr>
      <w:r>
        <w:t>Cláusula 5ª – Das Obrigações da Vendedora</w:t>
      </w:r>
    </w:p>
    <w:p>
      <w:pPr>
        <w:pStyle w:val="Body"/>
      </w:pPr>
      <w:r>
        <w:t>5.1. A VENDEDORA se compromete a:</w:t>
      </w:r>
    </w:p>
    <w:p>
      <w:pPr>
        <w:pStyle w:val="Sub"/>
        <w:ind w:left="567"/>
      </w:pPr>
      <w:r>
        <w:t>5.1.1. Custear o SETUP inicial do projeto no valor de até R$ 900.000,00 (novecentos mil reais), a ser pago após o efetivo início das operações, diretamente ao prestador de serviço indicado e homologado pelas INTERMEDIADORAS, conforme condições, prazos e escopo a serem definidos em contrato de serviços a ser convencionado.</w:t>
      </w:r>
    </w:p>
    <w:p>
      <w:pPr>
        <w:pStyle w:val="Sub"/>
        <w:ind w:left="567"/>
      </w:pPr>
      <w:r>
        <w:t>5.1.2. Fornecer acesso aos Kits adquiridos pelos clientes das INTERMEDIADORAS, com todas as funcionalidades acordadas e de acordo com os padrões de desempenho e qualidade estabelecidos.</w:t>
      </w:r>
    </w:p>
    <w:p>
      <w:pPr>
        <w:pStyle w:val="Sub"/>
        <w:ind w:left="567"/>
      </w:pPr>
      <w:r>
        <w:t>5.1.3. Disponibilizar às INTERMEDIADORAS todas as informações técnicas necessárias para a correta comercialização e utilização dos Kits, incluindo instruções e suporte técnico necessário.</w:t>
      </w:r>
    </w:p>
    <w:p>
      <w:pPr>
        <w:pStyle w:val="Sub"/>
        <w:ind w:left="567"/>
      </w:pPr>
      <w:r>
        <w:t>5.1.4. Garantir a disponibilidade e o funcionamento adequado da plataforma durante o prazo estabelecido, adotando medidas razoáveis para evitar interrupções não programadas.</w:t>
      </w:r>
    </w:p>
    <w:p>
      <w:pPr>
        <w:pStyle w:val="Sub"/>
        <w:ind w:left="567"/>
      </w:pPr>
      <w:r>
        <w:t>5.1.5. Fornecer treinamento adequado à equipe das INTERMEDIADORAS, para assegurar a correta utilização da plataforma e um bom atendimento aos clientes finais.</w:t>
      </w:r>
    </w:p>
    <w:p>
      <w:pPr>
        <w:pStyle w:val="Sub"/>
        <w:ind w:left="567"/>
      </w:pPr>
      <w:r>
        <w:t>5.1.6. Fornecer suporte técnico às INTERMEDIADORAS e aos clientes finais no que diz respeito à plataforma, respondendo a dúvidas e solicitações via e-mail em dias úteis, das 8h às 11h e das 13h às 18h, com SLA de até 48h.</w:t>
      </w:r>
    </w:p>
    <w:p>
      <w:pPr>
        <w:pStyle w:val="Sub"/>
        <w:ind w:left="567"/>
      </w:pPr>
      <w:r>
        <w:t>5.1.7. Manter a plataforma disponível durante 97% do tempo (janela: 365 dias × 24 horas), excluindo interrupções para manutenção técnica, falhas de conectividade do usuário e casos fortuitos ou de força maior.</w:t>
      </w:r>
    </w:p>
    <w:p>
      <w:pPr>
        <w:pStyle w:val="Sub"/>
        <w:ind w:left="567"/>
      </w:pPr>
      <w:r>
        <w:t>5.1.8. Disponibilizar os conteúdos educacionais digitais, abrangendo elaboração, produção, atualização e disponibilização na plataforma, conforme padrões previamente acordados com as INTERMEDIADORAS.</w:t>
      </w:r>
    </w:p>
    <w:p>
      <w:pPr>
        <w:pStyle w:val="Sub"/>
        <w:ind w:left="567"/>
      </w:pPr>
      <w:r>
        <w:t>5.1.9. Planejar, desenvolver e operacionalizar toda a dinâmica promocional e as campanhas correlatas, incluindo elaboração de regulamentos, definição das trilhas de participação e implementação da governança das ações promocionais, e manutenção da plataforma durante toda a vigência contratual.</w:t>
      </w:r>
    </w:p>
    <w:p>
      <w:pPr>
        <w:pStyle w:val="Sub"/>
        <w:ind w:left="567"/>
      </w:pPr>
      <w:r>
        <w:t>5.1.10. Realizar os registros e formalizações junto aos órgãos competentes, quando exigidos, para fins de regularização e conformidade legal das campanhas promocionais.</w:t>
      </w:r>
    </w:p>
    <w:p>
      <w:pPr>
        <w:pStyle w:val="Sub"/>
        <w:ind w:left="567"/>
      </w:pPr>
      <w:r>
        <w:t>5.1.11. Assegurar a plataforma de distribuição e gestão dos conteúdos, incluindo processo de entrega digital, manutenção e operação do ambiente tecnológico e gestão da campanha de premiação na modalidade incentivo.</w:t>
      </w:r>
    </w:p>
    <w:p>
      <w:pPr>
        <w:pStyle w:val="Sub"/>
        <w:ind w:left="567"/>
      </w:pPr>
      <w:r>
        <w:t>5.1.12. Efetuar a gestão dos prêmios vinculados às campanhas promocionais, incluindo aquisição, custeio e pagamento dos encargos incidentes sobre os prêmios mensais.</w:t>
      </w:r>
    </w:p>
    <w:p>
      <w:pPr>
        <w:pStyle w:val="Sub"/>
        <w:ind w:left="567"/>
      </w:pPr>
      <w:r>
        <w:t>5.1.13. Elaborar e disponibilizar relatórios mensais de performance, contendo os principais KPIs do projeto, para acompanhamento da execução contratual pelas INTERMEDIADORAS.</w:t>
      </w:r>
    </w:p>
    <w:p>
      <w:pPr>
        <w:pStyle w:val="Sub"/>
        <w:ind w:left="567"/>
      </w:pPr>
      <w:r>
        <w:t>5.1.14. Recolher regularmente os tributos incidentes sobre a prestação dos serviços educacionais digitais objeto deste Contrato — incluindo ISS, PIS e COFINS — mantendo em dia suas obrigações fiscais principais e acessórias, e fornecendo às INTERMEDIADORAS, quando solicitado, os comprovantes de recolhimento correspondentes.</w:t>
      </w:r>
    </w:p>
    <w:p>
      <w:pPr>
        <w:pStyle w:val="ClauseTitle"/>
      </w:pPr>
      <w:r>
        <w:t>Cláusula 6ª – Das Obrigações das Intermediadoras</w:t>
      </w:r>
    </w:p>
    <w:p>
      <w:pPr>
        <w:pStyle w:val="Body"/>
      </w:pPr>
      <w:r>
        <w:t>6.1. As INTERMEDIADORAS se comprometem a:</w:t>
      </w:r>
    </w:p>
    <w:p>
      <w:pPr>
        <w:pStyle w:val="Sub"/>
        <w:ind w:left="567"/>
      </w:pPr>
      <w:r>
        <w:t>6.1.1. Adquirir, durante o período de até 60 (sessenta) meses, o número mínimo de 6.600.000 (seis milhões e seiscentos mil) Kits junto à VENDEDORA.</w:t>
      </w:r>
    </w:p>
    <w:p>
      <w:pPr>
        <w:pStyle w:val="Sub"/>
        <w:ind w:left="567"/>
      </w:pPr>
      <w:r>
        <w:t>6.1.2. Promover, de forma ativa e diligente, a comercialização dos Kits junto aos seus clientes finais, sendo exclusivamente responsáveis pelas ações de marketing, divulgação e suporte ao consumidor no processo de venda.</w:t>
      </w:r>
    </w:p>
    <w:p>
      <w:pPr>
        <w:pStyle w:val="Sub"/>
        <w:ind w:left="567"/>
      </w:pPr>
      <w:r>
        <w:t>6.1.3. Submeter previamente à aprovação da VENDEDORA todo e qualquer material publicitário, anúncio, campanha, peça gráfica ou conteúdo promocional que envolva os Kits, a marca ou a plataforma da VENDEDORA.</w:t>
      </w:r>
    </w:p>
    <w:p>
      <w:pPr>
        <w:pStyle w:val="Sub"/>
        <w:ind w:left="567"/>
      </w:pPr>
      <w:r>
        <w:t>6.1.4. Manter a VENDEDORA informada, mediante envio de relatório quando solicitado, contendo: número de unidades vendidas, valores recebidos, códigos de acesso distribuídos e demais informações comerciais relevantes.</w:t>
      </w:r>
    </w:p>
    <w:p>
      <w:pPr>
        <w:pStyle w:val="Sub"/>
        <w:ind w:left="567"/>
      </w:pPr>
      <w:r>
        <w:t>6.1.5. Preservar a reputação e imagem institucional da VENDEDORA, comprometendo-se a não praticar, permitir ou associar-se a condutas que possam causar prejuízo à marca, ao conteúdo ou à plataforma.</w:t>
      </w:r>
    </w:p>
    <w:p>
      <w:pPr>
        <w:pStyle w:val="Sub"/>
        <w:ind w:left="567"/>
      </w:pPr>
      <w:r>
        <w:t>6.1.6. Restituir imediatamente à VENDEDORA, em caso de rescisão prematura, o valor de SETUP proporcionalmente ao número mínimo de Kits descrito na Cláusula 6.1.1. Exemplo: no caso de cumprimento de 20% da cota mínima, as INTERMEDIADORAS deverão restituir 80% do valor do SETUP.</w:t>
      </w:r>
    </w:p>
    <w:p>
      <w:pPr>
        <w:pStyle w:val="ClauseTitle"/>
      </w:pPr>
      <w:r>
        <w:t>Cláusula 7ª – Da Licença de Uso e Propriedade Intelectual</w:t>
      </w:r>
    </w:p>
    <w:p>
      <w:pPr>
        <w:pStyle w:val="Body"/>
      </w:pPr>
      <w:r>
        <w:t>7.1. As INTERMEDIADORAS reconhecem que a VENDEDORA é a única e legítima titular de todos os direitos de propriedade intelectual relacionados aos conteúdos e à plataforma, incluindo direitos autorais, marcas, logotipos, layout e segredos comerciais.</w:t>
      </w:r>
    </w:p>
    <w:p>
      <w:pPr>
        <w:pStyle w:val="Body"/>
      </w:pPr>
      <w:r>
        <w:t>7.2. O presente Contrato não implica, sob nenhuma hipótese, cessão, transferência ou licenciamento da titularidade dos direitos de propriedade intelectual da VENDEDORA, sendo concedida às INTERMEDIADORAS apenas licença limitada, não exclusiva, intransferível e revogável, exclusivamente para fins de comercialização dos Kits aos seus clientes finais.</w:t>
      </w:r>
    </w:p>
    <w:p>
      <w:pPr>
        <w:pStyle w:val="Body"/>
      </w:pPr>
      <w:r>
        <w:t>7.3. As INTERMEDIADORAS declaram-se cientes de que os conteúdos são protegidos pela legislação de direitos autorais e que qualquer uso indevido, reprodução, distribuição ou exploração não autorizada constitui infração legal e contratual.</w:t>
      </w:r>
    </w:p>
    <w:p>
      <w:pPr>
        <w:pStyle w:val="ClauseTitle"/>
      </w:pPr>
      <w:r>
        <w:t>Cláusula 8ª – Da Vigência e Renovação</w:t>
      </w:r>
    </w:p>
    <w:p>
      <w:pPr>
        <w:pStyle w:val="Body"/>
      </w:pPr>
      <w:r>
        <w:t>8.1. O presente Contrato vigerá pelo prazo de 60 (sessenta) meses, a contar da data da primeira venda efetivada, sendo renovado automaticamente pelo mesmo período em caso de não denunciação com antecedência mínima de 90 (noventa) dias.</w:t>
      </w:r>
    </w:p>
    <w:p>
      <w:pPr>
        <w:pStyle w:val="ClauseTitle"/>
      </w:pPr>
      <w:r>
        <w:t>Cláusula 9ª – Da Resilição e Rescisão</w:t>
      </w:r>
    </w:p>
    <w:p>
      <w:pPr>
        <w:pStyle w:val="Body"/>
      </w:pPr>
      <w:r>
        <w:t>9.1. Após o período inicial de 60 (sessenta) meses, caso o Contrato seja renovado automaticamente, as Partes permanecerão vinculadas por novo período mínimo de 60 (sessenta) meses, durante o qual não será permitida a resilição imotivada, salvo hipótese de descumprimento contratual devidamente comprovado.</w:t>
      </w:r>
    </w:p>
    <w:p>
      <w:pPr>
        <w:pStyle w:val="Body"/>
      </w:pPr>
      <w:r>
        <w:t>9.2. O presente Contrato poderá ser rescindido de pleno direito, mediante prévia comunicação por e-mail, nos casos de descumprimento de obrigações não sanadas no prazo de até 30 (trinta) dias a partir da comunicação escrita, ou em caso de pedido de falência e/ou recuperação judicial por qualquer das Partes.</w:t>
      </w:r>
    </w:p>
    <w:p>
      <w:pPr>
        <w:pStyle w:val="Sub"/>
        <w:ind w:left="567"/>
      </w:pPr>
      <w:r>
        <w:t>9.2.1. A rescisão motivada por culpa de qualquer das Partes implicará multa penal equivalente a 5% (cinco por cento) do valor total do número mínimo de Kits previsto na Cláusula 6.1.1, com cobrança imediata em favor da Parte inocente.</w:t>
      </w:r>
    </w:p>
    <w:p>
      <w:pPr>
        <w:pStyle w:val="Body"/>
      </w:pPr>
      <w:r>
        <w:t>9.3. As INTERMEDIADORAS obrigam-se a pagar à VENDEDORA o valor de R$ 210.000,00 (duzentos e dez mil reais) mensais, destinados à realização dos sorteios e à manutenção das operações da campanha após o término da vigência ou rescisão, pelo período de 24 (vinte e quatro) meses. Essa obrigação é autônoma e independente de qualquer multa rescisória prevista neste Contrato.</w:t>
      </w:r>
    </w:p>
    <w:p>
      <w:pPr>
        <w:pStyle w:val="Sub"/>
        <w:ind w:left="567"/>
      </w:pPr>
      <w:r>
        <w:t>9.3.1. Os pagamentos deverão ser realizados mensalmente até o 5º dia útil de cada mês subsequente ao encerramento, por transferência bancária, boleto ou PIX.</w:t>
      </w:r>
    </w:p>
    <w:p>
      <w:pPr>
        <w:pStyle w:val="Sub"/>
        <w:ind w:left="567"/>
      </w:pPr>
      <w:r>
        <w:t>9.3.2. O inadimplemento de qualquer parcela sujeitará as INTERMEDIADORAS a multa moratória de 2%, acrescida de juros de 1% ao mês pro rata die e correção pelo IPCA.</w:t>
      </w:r>
    </w:p>
    <w:p>
      <w:pPr>
        <w:pStyle w:val="ClauseTitle"/>
      </w:pPr>
      <w:r>
        <w:t>Cláusula 10ª – Responsabilidades, Riscos Fiscais, Indenidade e Garantia</w:t>
      </w:r>
    </w:p>
    <w:p>
      <w:pPr>
        <w:pStyle w:val="Body"/>
      </w:pPr>
      <w:r>
        <w:t>10.1. Princípio geral de alocação de responsabilidade</w:t>
      </w:r>
    </w:p>
    <w:p>
      <w:pPr>
        <w:pStyle w:val="Body"/>
      </w:pPr>
      <w:r>
        <w:t>As Partes reconhecem que cada uma responderá pelos atos, omissões, falhas e riscos que estejam sob sua esfera de controle, conforme atribuídos neste Contrato. A VENDEDORA, na qualidade de prestadora do serviço educacional digital, emissora dos documentos fiscais ao cliente final, titular dos conteúdos e operadora da plataforma, assumirá integralmente os riscos fiscais, tributários, acessórios, operacionais e regulatórios relacionados à estrutura do serviço.</w:t>
      </w:r>
    </w:p>
    <w:p>
      <w:pPr>
        <w:pStyle w:val="Body"/>
      </w:pPr>
      <w:r>
        <w:t>10.2. Responsabilidade de Casas Bahia Pay/Casas Bahia por comercialização e canal de venda</w:t>
      </w:r>
    </w:p>
    <w:p>
      <w:pPr>
        <w:pStyle w:val="Body"/>
      </w:pPr>
      <w:r>
        <w:t>Casas Bahia Pay e/ou Casas Bahia serão responsáveis por reclamações, autuações ou perdas decorrentes exclusivamente de falhas atribuíveis à comercialização do produto em seus canais, incluindo:</w:t>
      </w:r>
    </w:p>
    <w:p>
      <w:pPr>
        <w:pStyle w:val="ListBullet"/>
        <w:ind w:left="283"/>
      </w:pPr>
      <w:r>
        <w:rPr>
          <w:sz w:val="22"/>
        </w:rPr>
        <w:t>abordagem comercial inadequada;</w:t>
      </w:r>
    </w:p>
    <w:p>
      <w:pPr>
        <w:pStyle w:val="ListBullet"/>
        <w:ind w:left="283"/>
      </w:pPr>
      <w:r>
        <w:rPr>
          <w:sz w:val="22"/>
        </w:rPr>
        <w:t>venda casada, venda embutida ou oferta sem consentimento expresso;</w:t>
      </w:r>
    </w:p>
    <w:p>
      <w:pPr>
        <w:pStyle w:val="ListBullet"/>
        <w:ind w:left="283"/>
      </w:pPr>
      <w:r>
        <w:rPr>
          <w:sz w:val="22"/>
        </w:rPr>
        <w:t>descumprimento de scripts, treinamentos, materiais e fluxos previamente aprovados;</w:t>
      </w:r>
    </w:p>
    <w:p>
      <w:pPr>
        <w:pStyle w:val="ListBullet"/>
        <w:ind w:left="283"/>
      </w:pPr>
      <w:r>
        <w:rPr>
          <w:sz w:val="22"/>
        </w:rPr>
        <w:t>uso de material publicitário ou comunicação não aprovada;</w:t>
      </w:r>
    </w:p>
    <w:p>
      <w:pPr>
        <w:pStyle w:val="ListBullet"/>
        <w:ind w:left="283"/>
      </w:pPr>
      <w:r>
        <w:rPr>
          <w:sz w:val="22"/>
        </w:rPr>
        <w:t>omissão de informações obrigatórias no momento da venda;</w:t>
      </w:r>
    </w:p>
    <w:p>
      <w:pPr>
        <w:pStyle w:val="ListBullet"/>
        <w:ind w:left="283"/>
      </w:pPr>
      <w:r>
        <w:rPr>
          <w:sz w:val="22"/>
        </w:rPr>
        <w:t>promessa comercial indevida, inclusive promessa de premiação garantida;</w:t>
      </w:r>
    </w:p>
    <w:p>
      <w:pPr>
        <w:pStyle w:val="ListBullet"/>
        <w:ind w:left="283"/>
      </w:pPr>
      <w:r>
        <w:rPr>
          <w:sz w:val="22"/>
        </w:rPr>
        <w:t>oferta divergente das condições pactuadas;</w:t>
      </w:r>
    </w:p>
    <w:p>
      <w:pPr>
        <w:pStyle w:val="ListBullet"/>
        <w:ind w:left="283"/>
      </w:pPr>
      <w:r>
        <w:rPr>
          <w:sz w:val="22"/>
        </w:rPr>
        <w:t>erro de preço, erro de contratação ou seleção incorreta de SKU;</w:t>
      </w:r>
    </w:p>
    <w:p>
      <w:pPr>
        <w:pStyle w:val="ListBullet"/>
        <w:ind w:left="283"/>
      </w:pPr>
      <w:r>
        <w:rPr>
          <w:sz w:val="22"/>
        </w:rPr>
        <w:t>falha na coleta de aceite ou consentimento do cliente;</w:t>
      </w:r>
    </w:p>
    <w:p>
      <w:pPr>
        <w:pStyle w:val="ListBullet"/>
        <w:ind w:left="283"/>
      </w:pPr>
      <w:r>
        <w:rPr>
          <w:sz w:val="22"/>
        </w:rPr>
        <w:t>falha no registro da venda no PDV;</w:t>
      </w:r>
    </w:p>
    <w:p>
      <w:pPr>
        <w:pStyle w:val="ListBullet"/>
        <w:ind w:left="283"/>
      </w:pPr>
      <w:r>
        <w:rPr>
          <w:sz w:val="22"/>
        </w:rPr>
        <w:t>falha na entrega do cupom físico ou não fiscal ao cliente;</w:t>
      </w:r>
    </w:p>
    <w:p>
      <w:pPr>
        <w:pStyle w:val="ListBullet"/>
        <w:ind w:left="283"/>
      </w:pPr>
      <w:r>
        <w:rPr>
          <w:sz w:val="22"/>
        </w:rPr>
        <w:t>falha no repasse de dados capturados sob responsabilidade de Casas Bahia Pay/Casas Bahia.</w:t>
      </w:r>
    </w:p>
    <w:p>
      <w:pPr>
        <w:pStyle w:val="Body"/>
      </w:pPr>
      <w:r>
        <w:t>10.3. Responsabilidade da VENDEDORA pelo serviço digital e plataforma</w:t>
      </w:r>
    </w:p>
    <w:p>
      <w:pPr>
        <w:pStyle w:val="Body"/>
      </w:pPr>
      <w:r>
        <w:t>A VENDEDORA será integralmente responsável pelo serviço educacional digital ofertado, incluindo sua existência, titularidade, conteúdo, qualidade, regularidade, disponibilidade, acesso, suporte técnico, plataforma, catálogo, créditos de acesso e evidências de disponibilização ao cliente. A VENDEDORA responderá por quaisquer reclamações, autuações, penalidades, perdas ou danos decorrentes de falhas operacionais sob sua responsabilidade.</w:t>
      </w:r>
    </w:p>
    <w:p>
      <w:pPr>
        <w:pStyle w:val="Body"/>
      </w:pPr>
      <w:r>
        <w:t>10.4. Responsabilidade fiscal, tributária e acessória da VENDEDORA</w:t>
      </w:r>
    </w:p>
    <w:p>
      <w:pPr>
        <w:pStyle w:val="Body"/>
      </w:pPr>
      <w:r>
        <w:t>A VENDEDORA será integral e exclusivamente responsável por todos os riscos e contingências de natureza fiscal, tributária, contábil ou acessória relacionados a:</w:t>
      </w:r>
    </w:p>
    <w:p>
      <w:pPr>
        <w:pStyle w:val="ListBullet"/>
        <w:ind w:left="283"/>
      </w:pPr>
      <w:r>
        <w:rPr>
          <w:sz w:val="22"/>
        </w:rPr>
        <w:t>à prestação do serviço educacional digital;</w:t>
      </w:r>
    </w:p>
    <w:p>
      <w:pPr>
        <w:pStyle w:val="ListBullet"/>
        <w:ind w:left="283"/>
      </w:pPr>
      <w:r>
        <w:rPr>
          <w:sz w:val="22"/>
        </w:rPr>
        <w:t>à emissão, cancelamento, substituição e escrituração dos documentos fiscais;</w:t>
      </w:r>
    </w:p>
    <w:p>
      <w:pPr>
        <w:pStyle w:val="ListBullet"/>
        <w:ind w:left="283"/>
      </w:pPr>
      <w:r>
        <w:rPr>
          <w:sz w:val="22"/>
        </w:rPr>
        <w:t>à classificação fiscal, tributária e contábil do serviço;</w:t>
      </w:r>
    </w:p>
    <w:p>
      <w:pPr>
        <w:pStyle w:val="ListBullet"/>
        <w:ind w:left="283"/>
      </w:pPr>
      <w:r>
        <w:rPr>
          <w:sz w:val="22"/>
        </w:rPr>
        <w:t>ao enquadramento das receitas relacionadas ao serviço digital;</w:t>
      </w:r>
    </w:p>
    <w:p>
      <w:pPr>
        <w:pStyle w:val="ListBullet"/>
        <w:ind w:left="283"/>
      </w:pPr>
      <w:r>
        <w:rPr>
          <w:sz w:val="22"/>
        </w:rPr>
        <w:t>ao cumprimento de obrigações tributárias principais e acessórias;</w:t>
      </w:r>
    </w:p>
    <w:p>
      <w:pPr>
        <w:pStyle w:val="ListBullet"/>
        <w:ind w:left="283"/>
      </w:pPr>
      <w:r>
        <w:rPr>
          <w:sz w:val="22"/>
        </w:rPr>
        <w:t>à coerência entre fluxo fiscal, fluxo financeiro, contratos, relatórios, notas fiscais e operação efetiva;</w:t>
      </w:r>
    </w:p>
    <w:p>
      <w:pPr>
        <w:pStyle w:val="ListBullet"/>
        <w:ind w:left="283"/>
      </w:pPr>
      <w:r>
        <w:rPr>
          <w:sz w:val="22"/>
        </w:rPr>
        <w:t>à estrutura fiscal e operacional adotada pela VENDEDORA.</w:t>
      </w:r>
    </w:p>
    <w:p>
      <w:pPr>
        <w:pStyle w:val="Body"/>
      </w:pPr>
      <w:r>
        <w:t>10.5. Requalificação fiscal e descaracterização da operação</w:t>
      </w:r>
    </w:p>
    <w:p>
      <w:pPr>
        <w:pStyle w:val="Body"/>
      </w:pPr>
      <w:r>
        <w:t>A responsabilidade da VENDEDORA abrangerá quaisquer fiscalizações ou processos decorrentes de entendimento de autoridades no sentido de que: (a) a operação foi indevidamente caracterizada como prestação de serviço educacional digital; (b) o conteúdo não constitui o produto principal da operação; (c) a operação possui natureza predominantemente promocional ou de sorteio; (d) houve simulação, artificialidade negocial ou planejamento tributário abusivo; (e) há inconsistência entre documentação fiscal, contratual, fluxo financeiro e substância econômica da operação; ou (f) a mecânica promocional descaracteriza o serviço educacional como produto principal. Essa responsabilidade somente não será atribuída à VENDEDORA quando a contingência decorrer exclusivamente de conduta comprovadamente atribuível a Casas Bahia Pay/Casas Bahia.</w:t>
      </w:r>
    </w:p>
    <w:p>
      <w:pPr>
        <w:pStyle w:val="Body"/>
      </w:pPr>
      <w:r>
        <w:t>10.6. Nome comercial e natureza da operação</w:t>
      </w:r>
    </w:p>
    <w:p>
      <w:pPr>
        <w:pStyle w:val="Body"/>
      </w:pPr>
      <w:r>
        <w:t>As Partes reconhecem que a denominação "VEM APRENDER COMIGO", ou outra que venha a substituí-la, constitui nome comercial e promocional da oferta, não alterando a natureza fiscal e jurídica do serviço educacional digital. A VENDEDORA declara que a adoção de referida denominação é compatível com a estrutura fiscal e operacional por ela adotada.</w:t>
      </w:r>
    </w:p>
    <w:p>
      <w:pPr>
        <w:pStyle w:val="Body"/>
      </w:pPr>
      <w:r>
        <w:t>10.7. Responsabilidade pelo sorteio, capitalização e benefício promocional</w:t>
      </w:r>
    </w:p>
    <w:p>
      <w:pPr>
        <w:pStyle w:val="Body"/>
      </w:pPr>
      <w:r>
        <w:t>A participação em sorteios constitui benefício promocional gratuito e acessório ao serviço principal. A VENDEDORA será responsável, diretamente ou por meio de parceiros, pela regularidade, estruturação, regulamentação, autorização, operação, apuração e premiação do sorteio, respondendo perante Casas Bahia Pay/Casas Bahia por quaisquer falhas ou irregularidades da operação promocional.</w:t>
      </w:r>
    </w:p>
    <w:p>
      <w:pPr>
        <w:pStyle w:val="Body"/>
      </w:pPr>
      <w:r>
        <w:t>10.8. Indenidade em favor de Casas Bahia Pay/Casas Bahia</w:t>
      </w:r>
    </w:p>
    <w:p>
      <w:pPr>
        <w:pStyle w:val="Body"/>
      </w:pPr>
      <w:r>
        <w:t>Caso Casas Bahia Pay, Casas Bahia ou qualquer empresa de seus respectivos grupos venha a ser autuada, notificada ou envolvida em procedimento relacionado às responsabilidades atribuídas à VENDEDORA, a VENDEDORA deverá mantê-las integralmente indenes e ressarcidas de quaisquer valores, incluindo: tributos; multas e penalidades; juros, correção e encargos; depósitos judiciais; garantias; honorários advocatícios, custas e despesas processuais; e acordos, condenações e indenizações.</w:t>
      </w:r>
    </w:p>
    <w:p>
      <w:pPr>
        <w:pStyle w:val="Body"/>
      </w:pPr>
      <w:r>
        <w:t>10.9. Defesa, cooperação e fornecimento de documentos</w:t>
      </w:r>
    </w:p>
    <w:p>
      <w:pPr>
        <w:pStyle w:val="Body"/>
      </w:pPr>
      <w:r>
        <w:t>As Partes deverão cooperar de boa-fé em qualquer fiscalização, notificação ou demanda relacionada à operação. A VENDEDORA deverá fornecer tempestivamente todos os documentos necessários à sustentação da regularidade, incluindo: notas fiscais de serviços; comprovantes de recolhimento de tributos; evidências de acesso e disponibilização dos conteúdos; relatórios de conciliação fiscal e financeira; regulamentos da campanha; e documentos da capitalizadora responsável pelo sorteio.</w:t>
      </w:r>
    </w:p>
    <w:p>
      <w:pPr>
        <w:pStyle w:val="Body"/>
      </w:pPr>
      <w:r>
        <w:t>10.10. Procedimento para eventos mistos ou causa-raiz controvertida</w:t>
      </w:r>
    </w:p>
    <w:p>
      <w:pPr>
        <w:pStyle w:val="Body"/>
      </w:pPr>
      <w:r>
        <w:t>Quando a causa-raiz de contingência envolver mais de uma Parte ou não puder ser identificada, as Partes instaurarão procedimento conjunto de apuração, com compartilhamento de documentos e registros. A responsabilidade será atribuída conforme a contribuição causal de cada Parte. Enquanto não concluída a apuração, as Partes cooperarão para atendimento tempestivo a autoridades e ao cliente.</w:t>
      </w:r>
    </w:p>
    <w:p>
      <w:pPr>
        <w:pStyle w:val="Body"/>
      </w:pPr>
      <w:r>
        <w:t>10.11. Garantia financeira</w:t>
        <w:br/>
        <w:t>A VENDEDORA deverá apresentar e manter vigente, durante todo o prazo contratual e por prazo adicional de [A DEFINIR] anos após seu encerramento, garantia financeira idônea para cobertura das contingências previstas nesta cláusula, preferencialmente por meio de apólice de seguro específica, seguro garantia, fiança bancária, conta escrow ou instrumento equivalente aceito por Casas Bahia Pay/Casas Bahia. O valor, prazo, beneficiários e condições de acionamento deverão ser definidos pelas Partes antes do início da operação comercial.</w:t>
      </w:r>
    </w:p>
    <w:p>
      <w:pPr>
        <w:pStyle w:val="Body"/>
      </w:pPr>
      <w:r>
        <w:t>10.12. Tributos próprios de Casas Bahia Pay/Casas Bahia</w:t>
      </w:r>
    </w:p>
    <w:p>
      <w:pPr>
        <w:pStyle w:val="Body"/>
      </w:pPr>
      <w:r>
        <w:t>Casas Bahia Pay/Casas Bahia permanecerão responsáveis exclusivamente pelos tributos incidentes sobre suas próprias receitas, remunerações e comissões de intermediação.</w:t>
      </w:r>
    </w:p>
    <w:p>
      <w:pPr>
        <w:pStyle w:val="Body"/>
      </w:pPr>
      <w:r>
        <w:t>10.13. Sobrevivência das obrigações</w:t>
      </w:r>
    </w:p>
    <w:p>
      <w:pPr>
        <w:pStyle w:val="Body"/>
      </w:pPr>
      <w:r>
        <w:t>As obrigações de responsabilidade, cooperação, indenidade, ressarcimento e garantia previstas nesta cláusula sobreviverão ao término ou extinção deste Contrato, permanecendo válidas enquanto houver possibilidade de questionamento ou fiscalização relacionada à operação.</w:t>
      </w:r>
    </w:p>
    <w:p>
      <w:pPr>
        <w:pStyle w:val="ClauseTitle"/>
      </w:pPr>
      <w:r>
        <w:t>Cláusula 11ª – Da Intermediadora Casas Bahia</w:t>
      </w:r>
    </w:p>
    <w:p>
      <w:pPr>
        <w:pStyle w:val="Body"/>
      </w:pPr>
      <w:r>
        <w:t>11.1. A 2ª INTERMEDIADORA declara ter pleno conhecimento dos termos deste Contrato, manifestando expressa concordância com seu conteúdo e assumindo especificamente as obrigações desta Cláusula, observados o Manual de Regras de Divulgação SUSEP (Anexo IV), o Regulamento da Campanha (Anexo V) e a legislação aplicável.</w:t>
      </w:r>
    </w:p>
    <w:p>
      <w:pPr>
        <w:pStyle w:val="Body"/>
      </w:pPr>
      <w:r>
        <w:t>11.2. A 2ª INTERMEDIADORA obriga-se especificamente a:</w:t>
      </w:r>
    </w:p>
    <w:p>
      <w:pPr>
        <w:pStyle w:val="Sub"/>
        <w:ind w:left="567"/>
      </w:pPr>
      <w:r>
        <w:t>11.2.1. Cumprir integralmente o Manual de Regras de Divulgação SUSEP (Anexo IV) em toda comunicação, material publicitário ou ação promocional relacionada ao produto e à campanha realizada na rede de lojas.</w:t>
      </w:r>
    </w:p>
    <w:p>
      <w:pPr>
        <w:pStyle w:val="Sub"/>
        <w:ind w:left="567"/>
      </w:pPr>
      <w:r>
        <w:t>11.2.2. Treinar e supervisionar a força de vendas para abordagem adequada ao cliente final, com vedação expressa de venda casada, venda embutida, oferta sem consentimento expresso e qualquer prática contrária ao Código de Defesa do Consumidor.</w:t>
      </w:r>
    </w:p>
    <w:p>
      <w:pPr>
        <w:pStyle w:val="Sub"/>
        <w:ind w:left="567"/>
      </w:pPr>
      <w:r>
        <w:t>11.2.3. Capturar os dados do cliente exclusivamente para os fins deste Contrato, observando a LGPD (Lei nº 13.709/2018), e repassá-los à 1ª INTERMEDIADORA e à VENDEDORA pelos canais técnicos previstos.</w:t>
      </w:r>
    </w:p>
    <w:p>
      <w:pPr>
        <w:pStyle w:val="Sub"/>
        <w:ind w:left="567"/>
      </w:pPr>
      <w:r>
        <w:t>11.2.4. Receber o pagamento do cliente final no canal físico de venda e repassá-lo à 1ª INTERMEDIADORA, garantindo a integridade do fluxo financeiro até a VENDEDORA.</w:t>
      </w:r>
    </w:p>
    <w:p>
      <w:pPr>
        <w:pStyle w:val="Sub"/>
        <w:ind w:left="567"/>
      </w:pPr>
      <w:r>
        <w:t>11.2.5. Entregar ao cliente final, no momento da venda, o cupom não fiscal contendo dados de acesso à plataforma da VENDEDORA, conforme padrão aprovado pelas Partes.</w:t>
      </w:r>
    </w:p>
    <w:p>
      <w:pPr>
        <w:pStyle w:val="Sub"/>
        <w:ind w:left="567"/>
      </w:pPr>
      <w:r>
        <w:t>11.2.6. Comunicar o cliente ganhador do sorteio mensal e organizar a entrega promocional do prêmio, conforme orientação oficial repassada pela VENDEDORA.</w:t>
      </w:r>
    </w:p>
    <w:p>
      <w:pPr>
        <w:pStyle w:val="Sub"/>
        <w:ind w:left="567"/>
      </w:pPr>
      <w:r>
        <w:t>11.2.7. Manter arquivo digital de todo material publicitário da operação por prazo mínimo de 5 (cinco) anos, disponibilizando-o à VENDEDORA em até 5 (cinco) dias úteis, quando solicitado.</w:t>
      </w:r>
    </w:p>
    <w:p>
      <w:pPr>
        <w:pStyle w:val="Sub"/>
        <w:ind w:left="567"/>
      </w:pPr>
      <w:r>
        <w:t>11.2.8. Submeter-se a auditorias periódicas e emergenciais pela VENDEDORA, com aviso prévio razoável, para verificação de conformidade às obrigações deste Contrato.</w:t>
      </w:r>
    </w:p>
    <w:p>
      <w:pPr>
        <w:pStyle w:val="Body"/>
      </w:pPr>
      <w:r>
        <w:t>11.3. O descumprimento das obrigações assumidas nesta Cláusula confere à VENDEDORA o direito de ação direta contra a 2ª INTERMEDIADORA, sem prejuízo das obrigações das INTERMEDIADORAS enquanto contrapartes principais.</w:t>
      </w:r>
    </w:p>
    <w:p>
      <w:pPr>
        <w:pStyle w:val="Body"/>
      </w:pPr>
      <w:r>
        <w:t>11.4. Sempre que possível e juridicamente cabível, em ações movidas por cliente final ou autoridades, as Partes envolverão umas às outras por chamamento ao processo, denunciação da lide ou litisconsórcio passivo.</w:t>
      </w:r>
    </w:p>
    <w:p>
      <w:pPr>
        <w:pStyle w:val="ClauseTitle"/>
      </w:pPr>
      <w:r>
        <w:t>Cláusula 12ª – Proteção de Dados Pessoais</w:t>
      </w:r>
    </w:p>
    <w:p>
      <w:pPr>
        <w:pStyle w:val="Body"/>
      </w:pPr>
      <w:r>
        <w:t>12.1. As Partes comprometem-se a cumprir integralmente a LGPD (Lei nº 13.709/2018), adotando medidas técnicas e administrativas adequadas para proteger os dados pessoais tratados no âmbito deste Contrato.</w:t>
      </w:r>
    </w:p>
    <w:p>
      <w:pPr>
        <w:pStyle w:val="Body"/>
      </w:pPr>
      <w:r>
        <w:t>12.2. As INTERMEDIADORAS serão consideradas as Controladoras dos dados pessoais dos consumidores finais. A VENDEDORA atuará como Operadora, tratando os dados exclusivamente conforme as instruções da Controladora.</w:t>
      </w:r>
    </w:p>
    <w:p>
      <w:pPr>
        <w:pStyle w:val="Body"/>
      </w:pPr>
      <w:r>
        <w:t>12.3. A VENDEDORA não poderá utilizar os dados para fins próprios, nem compartilhá-los com terceiros sem autorização expressa. Subcontratados deverão firmar termo com cláusulas de confidencialidade e conformidade com a LGPD.</w:t>
      </w:r>
    </w:p>
    <w:p>
      <w:pPr>
        <w:pStyle w:val="Body"/>
      </w:pPr>
      <w:r>
        <w:t>12.4. Em caso de incidente de segurança, a Parte responsável comunicará a outra em até 48 (quarenta e oito) horas, informando a natureza do incidente, os dados afetados e as medidas adotadas.</w:t>
      </w:r>
    </w:p>
    <w:p>
      <w:pPr>
        <w:pStyle w:val="Body"/>
      </w:pPr>
      <w:r>
        <w:t>12.5. As Partes responderão solidária ou regressivamente por danos decorrentes de infrações à LGPD, conforme apuração de responsabilidade.</w:t>
      </w:r>
    </w:p>
    <w:p>
      <w:pPr>
        <w:pStyle w:val="ClauseTitle"/>
      </w:pPr>
      <w:r>
        <w:t>Cláusula 13ª – Da Prática Anticorrupção e Conformidade</w:t>
      </w:r>
    </w:p>
    <w:p>
      <w:pPr>
        <w:pStyle w:val="Body"/>
      </w:pPr>
      <w:r>
        <w:t>13.1. As Partes declaram e garantem que conduzem suas atividades em conformidade com a Lei nº 12.846/2013, a Lei nº 8.429/1992 e a legislação penal brasileira.</w:t>
      </w:r>
    </w:p>
    <w:p>
      <w:pPr>
        <w:pStyle w:val="Body"/>
      </w:pPr>
      <w:r>
        <w:t>13.2. As Partes comprometem-se a não oferecer, prometer ou conceder, direta ou indiretamente, qualquer vantagem indevida a agentes públicos ou privados.</w:t>
      </w:r>
    </w:p>
    <w:p>
      <w:pPr>
        <w:pStyle w:val="Body"/>
      </w:pPr>
      <w:r>
        <w:t>13.3. Qualquer ato de corrupção, fraude ou lavagem de dinheiro autoriza a Parte inocente a rescindir o Contrato de pleno direito.</w:t>
      </w:r>
    </w:p>
    <w:p>
      <w:pPr>
        <w:pStyle w:val="ClauseTitle"/>
      </w:pPr>
      <w:r>
        <w:t>Cláusula 14ª – Da Confidencialidade</w:t>
      </w:r>
    </w:p>
    <w:p>
      <w:pPr>
        <w:pStyle w:val="Body"/>
      </w:pPr>
      <w:r>
        <w:t>14.1. As Partes reconhecem que, no decorrer deste Contrato, poderão revelar Informações Confidenciais, incluindo: informações com valor econômico não geralmente disponíveis; informações relativas a atividades, sistemas e tecnologias das Partes; e informações financeiras, de clientes, de mercados e de operações.</w:t>
      </w:r>
    </w:p>
    <w:p>
      <w:pPr>
        <w:pStyle w:val="Sub"/>
        <w:ind w:left="567"/>
      </w:pPr>
      <w:r>
        <w:t>14.1.1. As Partes obrigam-se a impedir a revelação a terceiros das Informações Confidenciais da outra Parte.</w:t>
      </w:r>
    </w:p>
    <w:p>
      <w:pPr>
        <w:pStyle w:val="Sub"/>
        <w:ind w:left="567"/>
      </w:pPr>
      <w:r>
        <w:t>14.1.2. Após o término deste Contrato, as obrigações de confidencialidade permanecerão em vigor por 5 (cinco) anos.</w:t>
      </w:r>
    </w:p>
    <w:p>
      <w:pPr>
        <w:pStyle w:val="Sub"/>
        <w:ind w:left="567"/>
      </w:pPr>
      <w:r>
        <w:t>14.1.3. Não são consideradas confidenciais as informações: (i) tornadas públicas por meios legítimos; (ii) já conhecidas pela Parte Receptora antes da divulgação; (iii) desenvolvidas independentemente; ou (iv) recebidas de terceiros sem violação de obrigação legal ou contratual.</w:t>
      </w:r>
    </w:p>
    <w:p>
      <w:pPr>
        <w:pStyle w:val="Body"/>
      </w:pPr>
      <w:r>
        <w:t>14.2. As Informações Confidenciais são e permanecerão de propriedade exclusiva da Parte Informante, sob pena de multa contratual proporcional ao dano sofrido, sem prejuízo de perdas e danos.</w:t>
      </w:r>
    </w:p>
    <w:p>
      <w:pPr>
        <w:pStyle w:val="ClauseTitle"/>
      </w:pPr>
      <w:r>
        <w:t>Cláusula 15ª – Das Disposições Gerais</w:t>
      </w:r>
    </w:p>
    <w:p>
      <w:pPr>
        <w:pStyle w:val="Body"/>
      </w:pPr>
      <w:r>
        <w:t>15.1. As INTERMEDIADORAS autorizam, desde já, que a VENDEDORA eventualmente faça menção sobre a existência do presente instrumento em ações de marketing e/ou institucionais, podendo fazer menção à imagem da marca.</w:t>
      </w:r>
    </w:p>
    <w:p>
      <w:pPr>
        <w:pStyle w:val="Body"/>
      </w:pPr>
      <w:r>
        <w:t>15.2. Caso este instrumento seja assinado de forma eletrônica, as Partes reconhecem esta forma de contratação como válida e plenamente eficaz, nos termos do §2º, art. 10 da Medida Provisória nº 2.200/2001.</w:t>
      </w:r>
    </w:p>
    <w:p>
      <w:pPr>
        <w:pStyle w:val="Body"/>
      </w:pPr>
      <w:r>
        <w:t>15.3. As Partes reconhecem que o presente instrumento constitui título executivo extrajudicial, nos termos do art. 784, inciso III e §4º do Código de Processo Civil.</w:t>
      </w:r>
    </w:p>
    <w:p>
      <w:pPr>
        <w:pStyle w:val="Body"/>
      </w:pPr>
      <w:r>
        <w:t>15.4. A tolerância de qualquer das Partes em relação a eventual descumprimento não será considerada novação, renúncia ou prorrogação do Contrato.</w:t>
      </w:r>
    </w:p>
    <w:p>
      <w:pPr>
        <w:pStyle w:val="ClauseTitle"/>
      </w:pPr>
      <w:r>
        <w:t>Cláusula 16ª – Do Foro</w:t>
      </w:r>
    </w:p>
    <w:p>
      <w:pPr>
        <w:pStyle w:val="Body"/>
      </w:pPr>
      <w:r>
        <w:t>16.1. As Partes elegem o Foro da Comarca de Araxá/MG para dirimir quaisquer questões oriundas deste Contrato, renunciando a qualquer outro, por mais privilegiado que seja.</w:t>
      </w:r>
    </w:p>
    <w:p>
      <w:pPr>
        <w:pStyle w:val="SectionHead"/>
      </w:pPr>
      <w:r>
        <w:t>Anexos Integrantes deste Contrato</w:t>
      </w:r>
    </w:p>
    <w:p>
      <w:pPr>
        <w:pStyle w:val="Body"/>
      </w:pPr>
      <w:r>
        <w:t>Anexo I — Tabela detalhada de preços por SKU e remuneração da intermediação. [A PREENCHER — incluir preços por SKU e % de intermediação CB Pay por SKU]</w:t>
      </w:r>
    </w:p>
    <w:p>
      <w:pPr>
        <w:pStyle w:val="Body"/>
      </w:pPr>
      <w:r>
        <w:t>Anexo II — Fluxo de Venda e Acertos Financeiros.</w:t>
      </w:r>
    </w:p>
    <w:p>
      <w:pPr>
        <w:pStyle w:val="Body"/>
      </w:pPr>
      <w:r>
        <w:t>Anexo III — Jornada Operacional Woli × Casas Bahia Pay × Casas Bahia (descrição detalhada do fluxo operacional).</w:t>
      </w:r>
    </w:p>
    <w:p>
      <w:pPr>
        <w:pStyle w:val="Body"/>
      </w:pPr>
      <w:r>
        <w:t>Anexo IV — Manual de Regras de Divulgação SUSEP, contendo as diretrizes técnicas, formatos, selos obrigatórios e disclaimers exigidos.</w:t>
      </w:r>
    </w:p>
    <w:p>
      <w:pPr>
        <w:pStyle w:val="Body"/>
      </w:pPr>
      <w:r>
        <w:t>Anexo V — Regulamento da Campanha "VEM APRENDER COMIGO" registrado junto à SUSEP.</w:t>
      </w:r>
    </w:p>
    <w:p/>
    <w:p>
      <w:pPr>
        <w:pStyle w:val="Body"/>
        <w:jc w:val="right"/>
      </w:pPr>
      <w:r>
        <w:t>Araxá/MG, _____ de _____________ de 2026.</w:t>
      </w:r>
    </w:p>
    <w:p>
      <w:pPr>
        <w:pStyle w:val="SectionHead"/>
      </w:pPr>
      <w:r>
        <w:t>Assinaturas</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VENDEDORA</w:t>
              <w:br/>
            </w:r>
            <w:r>
              <w:rPr>
                <w:b/>
                <w:sz w:val="20"/>
              </w:rPr>
              <w:t>WOLI TECNOLOGIA E GESTÃO LTDA.</w:t>
              <w:br/>
            </w:r>
            <w:r>
              <w:rPr>
                <w:sz w:val="20"/>
              </w:rPr>
              <w:t>Representante legal: _______________________</w:t>
              <w:br/>
            </w:r>
            <w:r>
              <w:rPr>
                <w:sz w:val="20"/>
              </w:rPr>
              <w:t>CPF/RG: ___________________________________</w:t>
            </w:r>
          </w:p>
        </w:tc>
        <w:tc>
          <w:tcPr>
            <w:tcW w:type="dxa" w:w="4561"/>
          </w:tcPr>
          <w:p>
            <w:r>
              <w:rPr>
                <w:b/>
                <w:sz w:val="20"/>
              </w:rPr>
              <w:t>1ª INTERMEDIADORA</w:t>
              <w:br/>
            </w:r>
            <w:r>
              <w:rPr>
                <w:b/>
                <w:sz w:val="20"/>
              </w:rPr>
              <w:t>CASAS BAHIA PAY EDUCAÇÃO LTDA.</w:t>
              <w:br/>
            </w:r>
            <w:r>
              <w:rPr>
                <w:sz w:val="20"/>
              </w:rPr>
              <w:t>Representante legal: _______________________</w:t>
              <w:br/>
            </w:r>
            <w:r>
              <w:rPr>
                <w:sz w:val="20"/>
              </w:rPr>
              <w:t>CPF/RG: ___________________________________</w:t>
            </w:r>
          </w:p>
        </w:tc>
      </w:tr>
      <w:tr>
        <w:tc>
          <w:tcPr>
            <w:tcW w:type="dxa" w:w="4561"/>
          </w:tcPr>
          <w:p>
            <w:r>
              <w:rPr>
                <w:b/>
                <w:sz w:val="20"/>
              </w:rPr>
              <w:t>2ª INTERMEDIADORA</w:t>
              <w:br/>
            </w:r>
            <w:r>
              <w:rPr>
                <w:b/>
                <w:sz w:val="20"/>
              </w:rPr>
              <w:t>[CASAS BAHIA — RAZÃO SOCIAL A CONFIRMAR]</w:t>
              <w:br/>
            </w:r>
            <w:r>
              <w:rPr>
                <w:sz w:val="20"/>
              </w:rPr>
              <w:t>Representante legal: _______________________</w:t>
              <w:br/>
            </w:r>
            <w:r>
              <w:rPr>
                <w:sz w:val="20"/>
              </w:rPr>
              <w:t>CPF/RG: ___________________________________</w:t>
            </w:r>
          </w:p>
        </w:tc>
        <w:tc>
          <w:tcPr>
            <w:tcW w:type="dxa" w:w="4561"/>
          </w:tcPr>
          <w:p>
            <w:r>
              <w:rPr>
                <w:b/>
                <w:sz w:val="20"/>
              </w:rPr>
              <w:t>TESTEMUNHAS</w:t>
              <w:br/>
            </w:r>
            <w:r>
              <w:rPr>
                <w:b/>
                <w:sz w:val="20"/>
              </w:rPr>
              <w:t>1. Nome: _________________ CPF: ___________</w:t>
              <w:br/>
            </w:r>
            <w:r>
              <w:rPr>
                <w:sz w:val="20"/>
              </w:rPr>
              <w:t>Representante legal: _______________________</w:t>
              <w:br/>
            </w:r>
            <w:r>
              <w:rPr>
                <w:sz w:val="20"/>
              </w:rPr>
              <w:t>CPF/RG: ___________________________________</w:t>
            </w:r>
            <w:r>
              <w:rPr>
                <w:sz w:val="20"/>
              </w:rPr>
              <w:br/>
              <w:t>2. Nome: _________________ CPF: ___________</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before="0" w:after="240"/>
      <w:jc w:val="center"/>
    </w:pPr>
    <w:rPr>
      <w:b/>
      <w:caps/>
      <w:sz w:val="24"/>
    </w:rPr>
  </w:style>
  <w:style w:type="paragraph" w:customStyle="1" w:styleId="SectionHead">
    <w:name w:val="Section Head"/>
    <w:basedOn w:val="Normal"/>
    <w:pPr>
      <w:spacing w:before="240" w:after="80"/>
      <w:jc w:val="left"/>
    </w:pPr>
    <w:rPr>
      <w:b/>
      <w:caps/>
      <w:sz w:val="22"/>
    </w:rPr>
  </w:style>
  <w:style w:type="paragraph" w:customStyle="1" w:styleId="ClauseTitle">
    <w:name w:val="Clause Title"/>
    <w:basedOn w:val="Normal"/>
    <w:pPr>
      <w:spacing w:before="200" w:after="80"/>
      <w:jc w:val="left"/>
    </w:pPr>
    <w:rPr>
      <w:b/>
      <w:caps/>
      <w:sz w:val="22"/>
    </w:rPr>
  </w:style>
  <w:style w:type="paragraph" w:customStyle="1" w:styleId="Body">
    <w:name w:val="Body"/>
    <w:basedOn w:val="Normal"/>
    <w:pPr>
      <w:spacing w:before="0" w:after="120"/>
      <w:jc w:val="both"/>
    </w:pPr>
    <w:rPr>
      <w:b w:val="0"/>
      <w:caps w:val="0"/>
      <w:sz w:val="22"/>
    </w:rPr>
  </w:style>
  <w:style w:type="paragraph" w:customStyle="1" w:styleId="Sub">
    <w:name w:val="Sub"/>
    <w:basedOn w:val="Normal"/>
    <w:pPr>
      <w:spacing w:before="0" w:after="80"/>
      <w:jc w:val="both"/>
    </w:pPr>
    <w:rPr>
      <w:b w:val="0"/>
      <w:caps w:val="0"/>
      <w:sz w:val="22"/>
    </w:rPr>
  </w:style>
  <w:style w:type="paragraph" w:customStyle="1" w:styleId="Placeholder">
    <w:name w:val="Placeholder"/>
    <w:basedOn w:val="Normal"/>
    <w:pPr>
      <w:spacing w:before="0" w:after="120"/>
      <w:jc w:val="left"/>
    </w:pPr>
    <w:rPr>
      <w:b w:val="0"/>
      <w:caps w:val="0"/>
      <w:color w:val="92400E"/>
      <w:sz w:val="22"/>
    </w:rPr>
  </w:style>
  <w:style w:type="paragraph" w:customStyle="1" w:styleId="RevisionNote">
    <w:name w:val="Revision Note"/>
    <w:basedOn w:val="Normal"/>
    <w:pPr>
      <w:spacing w:before="120" w:after="200"/>
      <w:jc w:val="left"/>
    </w:pPr>
    <w:rPr>
      <w:b/>
      <w:caps w:val="0"/>
      <w:color w:val="1E40AF"/>
      <w:sz w:val="20"/>
    </w:rPr>
  </w:style>
  <w:style w:type="paragraph" w:customStyle="1" w:styleId="Signature">
    <w:name w:val="Signature"/>
    <w:basedOn w:val="Normal"/>
    <w:pPr>
      <w:spacing w:before="80" w:after="80"/>
      <w:jc w:val="left"/>
    </w:pPr>
    <w:rPr>
      <w:b w:val="0"/>
      <w:caps w:val="0"/>
      <w:sz w:val="22"/>
    </w:rPr>
  </w:style>
  <w:style w:type="paragraph" w:customStyle="1" w:styleId="AnnexTitle">
    <w:name w:val="Annex Title"/>
    <w:basedOn w:val="Normal"/>
    <w:pPr>
      <w:spacing w:before="160" w:after="80"/>
      <w:jc w:val="left"/>
    </w:pPr>
    <w:rPr>
      <w:b/>
      <w:caps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