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color w:val="1B365D"/>
          <w:sz w:val="32"/>
        </w:rPr>
        <w:t>RELATÓRIO DE PRÁTICA PROFISSIONAL EM FÍSICA MÉDICA</w:t>
        <w:br/>
      </w:r>
      <w:r>
        <w:rPr>
          <w:i/>
          <w:color w:val="555555"/>
          <w:sz w:val="24"/>
        </w:rPr>
        <w:t>Setor de Radiologia Intervencionista, Tomografia Computadorizada e Ultrassonografia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0C4DE"/>
          <w:bottom w:val="single" w:sz="6" w:space="0" w:color="B0C4DE"/>
          <w:insideH w:val="single" w:sz="6" w:space="0" w:color="B0C4DE"/>
          <w:left w:val="none"/>
          <w:right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Discentes: </w:t>
            </w:r>
            <w:r>
              <w:rPr>
                <w:sz w:val="20"/>
              </w:rPr>
              <w:t>Julia e Wagner (Grupo 2)</w:t>
            </w:r>
          </w:p>
        </w:tc>
        <w:tc>
          <w:tcPr>
            <w:tcW w:type="dxa" w:w="4680"/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Área: </w:t>
            </w:r>
            <w:r>
              <w:rPr>
                <w:sz w:val="20"/>
              </w:rPr>
              <w:t>Física Médica no Radiodiagnóstico e USG</w:t>
            </w:r>
          </w:p>
        </w:tc>
      </w:tr>
      <w:tr>
        <w:tc>
          <w:tcPr>
            <w:tcW w:type="dxa" w:w="4680"/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Período da Prática: </w:t>
            </w:r>
            <w:r>
              <w:rPr>
                <w:sz w:val="20"/>
              </w:rPr>
              <w:t>07/08/2026 a 26/08/2026</w:t>
            </w:r>
          </w:p>
        </w:tc>
        <w:tc>
          <w:tcPr>
            <w:tcW w:type="dxa" w:w="4680"/>
            <w:shd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sz w:val="20"/>
              </w:rPr>
              <w:t xml:space="preserve">Status: </w:t>
            </w:r>
            <w:r>
              <w:rPr>
                <w:sz w:val="20"/>
              </w:rPr>
              <w:t>Versão Consolidada para Entrega</w:t>
            </w:r>
          </w:p>
        </w:tc>
      </w:tr>
    </w:tbl>
    <w:p>
      <w:pPr>
        <w:spacing w:after="160"/>
      </w:pPr>
    </w:p>
    <w:p>
      <w:pPr>
        <w:keepNext/>
        <w:spacing w:before="280" w:after="80"/>
      </w:pPr>
      <w:r>
        <w:rPr>
          <w:b/>
          <w:color w:val="1B365D"/>
          <w:sz w:val="28"/>
        </w:rPr>
        <w:t>07/08/2026 (DIA 1) — Observação no Setor de Intervenção e Diagnóstico por Imagem</w:t>
      </w:r>
    </w:p>
    <w:p>
      <w:pPr>
        <w:keepNext/>
        <w:spacing w:before="280" w:after="80"/>
      </w:pPr>
      <w:r>
        <w:rPr>
          <w:b/>
          <w:color w:val="2E5B88"/>
          <w:sz w:val="24"/>
        </w:rPr>
        <w:t>1. Introdução</w:t>
      </w:r>
    </w:p>
    <w:p>
      <w:r>
        <w:t>Este relatório documenta a visita de observação estruturada ao Setor de Radiologia Intervencionista e Diagnóstico por Imagem, com foco no papel do físico médico no acompanhamento de procedimentos guiados por imagem (Tomografia Computadorizada, Angiografia e Ultrassonografia), nas rotinas de controle de qualidade e na proteção radiológica ocupacional e do paciente, em conformidade com as diretrizes da RDC nº 611/2022 e da Instrução Normativa IN nº 91/2021 da ANVISA.</w:t>
      </w:r>
    </w:p>
    <w:p>
      <w:pPr>
        <w:keepNext/>
        <w:spacing w:before="280" w:after="80"/>
      </w:pPr>
      <w:r>
        <w:rPr>
          <w:b/>
          <w:color w:val="2E5B88"/>
          <w:sz w:val="24"/>
        </w:rPr>
        <w:t>2. Objetivo</w:t>
      </w:r>
    </w:p>
    <w:p>
      <w:r>
        <w:t>Descrever e analisar as rotinas técnicas e operacionais das salas de Tomografia, Angiografia Vascular/Neurológica e Ultrassonografia, identificando parâmetros de aquisição, equipamentos envolvidos, pontos críticos de proteção radiológica e o cronograma de controle de qualidade do serviço.</w:t>
      </w:r>
    </w:p>
    <w:p>
      <w:pPr>
        <w:keepNext/>
        <w:spacing w:before="280" w:after="80"/>
      </w:pPr>
      <w:r>
        <w:rPr>
          <w:b/>
          <w:color w:val="2E5B88"/>
          <w:sz w:val="24"/>
        </w:rPr>
        <w:t>3. Metodologia</w:t>
      </w:r>
    </w:p>
    <w:p>
      <w:r>
        <w:t>A atividade consistiu em observação direta das rotinas operacionais e entrevistas técnicas estruturadas com a equipe de física médica, técnicos de radiologia e equipe de enfermagem. Foram avaliados os equipamentos: Tomógrafo Siemens Somatom, Angiógrafos digitais monoplanares (GE Healthcare e Siemens Healthineers), Arco Cirúrgico móvel e aparelhos de Ultrassonografia. Foram discutidos os relatórios de dosimetria individual gerenciados pelo SESMT e os protocolos institucionais de baixa dose.</w:t>
      </w:r>
    </w:p>
    <w:p>
      <w:pPr>
        <w:keepNext/>
        <w:spacing w:before="280" w:after="80"/>
      </w:pPr>
      <w:r>
        <w:rPr>
          <w:b/>
          <w:color w:val="2E5B88"/>
          <w:sz w:val="24"/>
        </w:rPr>
        <w:t>4. Resultados e Discussão</w:t>
      </w:r>
    </w:p>
    <w:p>
      <w:pPr>
        <w:keepNext/>
        <w:spacing w:before="280" w:after="80"/>
      </w:pPr>
      <w:r>
        <w:rPr>
          <w:b/>
          <w:color w:val="333333"/>
          <w:sz w:val="22"/>
        </w:rPr>
        <w:t>4.1. Sala de Tomografia Computadorizada (Siemens Somatom)</w:t>
      </w:r>
    </w:p>
    <w:p>
      <w:pPr>
        <w:pStyle w:val="ListBullet"/>
        <w:spacing w:after="80" w:line="276" w:lineRule="auto"/>
      </w:pPr>
      <w:r>
        <w:rPr>
          <w:b/>
        </w:rPr>
        <w:t xml:space="preserve">Biópsias Percutâneas Guiadas por TC e USG: </w:t>
      </w:r>
      <w:r>
        <w:t>Procedimentos minimamente invasivos para coleta tecidual. Na TC, a física médica atua na otimização de protocolos de baixa dose, priorizando aquisições sequenciais com corrente reduzida (baixo mAs) ou tomofluoroscopia intermitente durante o avanço da agulha, complementadas por algoritmos de reconstrução iterativa para contenção do ruído quântico.</w:t>
      </w:r>
    </w:p>
    <w:p>
      <w:pPr>
        <w:pStyle w:val="ListBullet"/>
        <w:spacing w:after="80" w:line="276" w:lineRule="auto"/>
      </w:pPr>
      <w:r>
        <w:rPr>
          <w:b/>
        </w:rPr>
        <w:t xml:space="preserve">Ablação Térmica (Radiofrequência e Micro-ondas): </w:t>
      </w:r>
      <w:r>
        <w:t>Técnica que emprega calor para desestruturar e necrosar o tumor. O físico médico atua no controle de qualidade dos geradores de energia (aferição de potência, frequência e tempo), na segurança elétrica e na correlação geométrica entre a zona de necrose planejada e as imagens tomográficas de controle.</w:t>
      </w:r>
    </w:p>
    <w:p>
      <w:pPr>
        <w:pStyle w:val="ListBullet"/>
        <w:spacing w:after="80" w:line="276" w:lineRule="auto"/>
      </w:pPr>
      <w:r>
        <w:rPr>
          <w:b/>
        </w:rPr>
        <w:t xml:space="preserve">Crioablação: </w:t>
      </w:r>
      <w:r>
        <w:t>Emprega o resfriamento extremo (inferior a -40 ºC) baseado no efeito Joule-Thomson. O crescimento da bola de gelo ('iceball'), visualizada como uma área hipodensa bem demarcada na TC, é monitorado em tempo real por imagens sequenciais de baixa dose para garantir a margem oncológica sem lesar órgãos adjacentes.</w:t>
      </w:r>
    </w:p>
    <w:p>
      <w:pPr>
        <w:keepNext/>
        <w:spacing w:before="280" w:after="80"/>
      </w:pPr>
      <w:r>
        <w:rPr>
          <w:b/>
          <w:color w:val="333333"/>
          <w:sz w:val="22"/>
        </w:rPr>
        <w:t>4.2. Salas de Angiografia e Setor de Intervenção</w:t>
      </w:r>
    </w:p>
    <w:p>
      <w:pPr>
        <w:pStyle w:val="ListBullet"/>
        <w:spacing w:after="80" w:line="276" w:lineRule="auto"/>
      </w:pPr>
      <w:r>
        <w:rPr>
          <w:b/>
        </w:rPr>
        <w:t xml:space="preserve">Administração de Meios de Contraste: </w:t>
      </w:r>
      <w:r>
        <w:t>Uso padronizado de contrastes iodados não iônicos de baixa osmolalidade (concentrações de 300 a 370 mg I/mL). Realiza-se anamnese prévia mandatória para verificação da função renal (taxa de filtração glomerular estimada) e histórico de hipersensibilidade.</w:t>
      </w:r>
    </w:p>
    <w:p>
      <w:pPr>
        <w:pStyle w:val="ListBullet"/>
        <w:spacing w:after="80" w:line="276" w:lineRule="auto"/>
      </w:pPr>
      <w:r>
        <w:rPr>
          <w:b/>
        </w:rPr>
        <w:t xml:space="preserve">Colangiografia Trans-hepática Percutânea (Sala Vascular): </w:t>
      </w:r>
      <w:r>
        <w:t>Exame contrastado da árvore biliar para diagnóstico de estenoses e cálculos. Devido à hidrodinâmica lenta do fluxo biliar em comparação ao fluxo arterial pulsátil, o protocolo opera com taxa reduzida de quadros (2 a 4 frames/segundo em escopia pulsada), garantindo substancial redução da dose no paciente.</w:t>
      </w:r>
    </w:p>
    <w:p>
      <w:pPr>
        <w:pStyle w:val="ListBullet"/>
        <w:spacing w:after="80" w:line="276" w:lineRule="auto"/>
      </w:pPr>
      <w:r>
        <w:rPr>
          <w:b/>
        </w:rPr>
        <w:t xml:space="preserve">Angiografia Cerebral e Neurorradiologia: </w:t>
      </w:r>
      <w:r>
        <w:t>Procedimentos de alta complexidade para tratamento de aneurismas, malformações arteriovenosas e AVCs. A rotina abrange angiografia diagnóstica, angioplastia e implante de dispositivos endovasculares (stents e micromolas/coils). Devido ao calibre diminuto dos vasos intracranianos e à rapidez do fluxo sanguíneo, exigem-se alta resolução espacial e temporal, além de aquisições rotacionais 3D (Cone-Beam CT) para reconstrução volumétrica intraoperatória.</w:t>
      </w:r>
    </w:p>
    <w:p>
      <w:pPr>
        <w:pStyle w:val="ListBullet"/>
        <w:spacing w:after="80" w:line="276" w:lineRule="auto"/>
      </w:pPr>
      <w:r>
        <w:rPr>
          <w:b/>
        </w:rPr>
        <w:t xml:space="preserve">Arco Cirúrgico Móvel (Arco em C): </w:t>
      </w:r>
      <w:r>
        <w:t>Utilizado para intervenções ortopédicas, vasculares periféricas e vias biliares no centro cirúrgico.</w:t>
      </w:r>
    </w:p>
    <w:p>
      <w:pPr>
        <w:keepNext/>
        <w:spacing w:before="280" w:after="80"/>
      </w:pPr>
      <w:r>
        <w:rPr>
          <w:b/>
          <w:color w:val="333333"/>
          <w:sz w:val="22"/>
        </w:rPr>
        <w:t>4.3. Ultrassonografia e Ecocardiografia</w:t>
      </w:r>
    </w:p>
    <w:p>
      <w:pPr>
        <w:pStyle w:val="ListBullet"/>
        <w:spacing w:after="80" w:line="276" w:lineRule="auto"/>
      </w:pPr>
      <w:r>
        <w:rPr>
          <w:b/>
        </w:rPr>
        <w:t xml:space="preserve">Guia de Punção Vascular: </w:t>
      </w:r>
      <w:r>
        <w:t>O ultrassom portátil é empregado previamente ao cateterismo para guiar a punção da artéria radial ou femoral em tempo real, aumentando a taxa de sucesso na primeira tentativa e prevenindo hematomas, dissecções e punções inadvertidas da parede posterior.</w:t>
      </w:r>
    </w:p>
    <w:p>
      <w:pPr>
        <w:pStyle w:val="ListBullet"/>
        <w:spacing w:after="80" w:line="276" w:lineRule="auto"/>
      </w:pPr>
      <w:r>
        <w:rPr>
          <w:b/>
        </w:rPr>
        <w:t xml:space="preserve">Ecocardiograma Transtorácico e Transesofágico: </w:t>
      </w:r>
      <w:r>
        <w:t>O ecocardiograma transesofágico exige sonda endocavitária dedicada, jejum prévio de 8 horas, sedação e anestesia tópica de orofaringe.</w:t>
      </w:r>
    </w:p>
    <w:p>
      <w:pPr>
        <w:pStyle w:val="ListBullet"/>
        <w:spacing w:after="80" w:line="276" w:lineRule="auto"/>
      </w:pPr>
      <w:r>
        <w:rPr>
          <w:b/>
        </w:rPr>
        <w:t xml:space="preserve">Adequação da Indicação Clínica: </w:t>
      </w:r>
      <w:r>
        <w:t>Ressaltou-se a importância da correta seleção do transdutor (frequência e geometria) para cada biotipo anatômico, evitando exames inconclusivos.</w:t>
      </w:r>
    </w:p>
    <w:p>
      <w:pPr>
        <w:keepNext/>
        <w:spacing w:before="280" w:after="80"/>
      </w:pPr>
      <w:r>
        <w:rPr>
          <w:b/>
          <w:color w:val="333333"/>
          <w:sz w:val="22"/>
        </w:rPr>
        <w:t>4.4. Proteção Radiológica e Gestão da Dose</w:t>
      </w:r>
    </w:p>
    <w:p>
      <w:pPr>
        <w:pStyle w:val="ListBullet"/>
        <w:spacing w:after="80" w:line="276" w:lineRule="auto"/>
      </w:pPr>
      <w:r>
        <w:rPr>
          <w:b/>
        </w:rPr>
        <w:t xml:space="preserve">Equipamentos de Proteção Individual (EPIs): </w:t>
      </w:r>
      <w:r>
        <w:t>É obrigatório o uso de avental de chumbo (mínimo de 0,25 a 0,50 mm Pb equivalente), protetor de tireoide, óculos plumbíferos com abas laterais e saias de chumbo.</w:t>
      </w:r>
    </w:p>
    <w:p>
      <w:pPr>
        <w:pStyle w:val="ListBullet"/>
        <w:spacing w:after="80" w:line="276" w:lineRule="auto"/>
      </w:pPr>
      <w:r>
        <w:rPr>
          <w:b/>
        </w:rPr>
        <w:t xml:space="preserve">Blindagens Estruturais Pendentes: </w:t>
      </w:r>
      <w:r>
        <w:t>Identificou-se a necessidade de providenciar biombos suspensos de teto em acrílico plumbífero e cortinas plumbíferas inferiores na mesa de exames para atenuar a radiação espalhada no operador.</w:t>
      </w:r>
    </w:p>
    <w:p>
      <w:pPr>
        <w:pStyle w:val="ListBullet"/>
        <w:spacing w:after="80" w:line="276" w:lineRule="auto"/>
      </w:pPr>
      <w:r>
        <w:rPr>
          <w:b/>
        </w:rPr>
        <w:t xml:space="preserve">Gestão da Dosimetria Individual: </w:t>
      </w:r>
      <w:r>
        <w:t>Os relatórios mensais são elaborados pelo SESMT. Constatou-se uma taxa de subutilização do dosímetro pessoal por parte de alguns médicos intervencionistas. A equipe desenvolveu uma proposta de monitoramento de uso para aprimorar o controle de dose individual.</w:t>
      </w:r>
    </w:p>
    <w:p>
      <w:pPr>
        <w:keepNext/>
        <w:spacing w:before="280" w:after="80"/>
      </w:pPr>
      <w:r>
        <w:rPr>
          <w:b/>
          <w:color w:val="2E5B88"/>
          <w:sz w:val="24"/>
        </w:rPr>
        <w:t>5. Conclusão do Dia 1</w:t>
      </w:r>
    </w:p>
    <w:p>
      <w:r>
        <w:t>A observação confirmou a importância da atuação contínua da física médica na calibração de protocolos, na gestão do controle de qualidade e na proteção radiológica ocupacional. A utilização de escopia pulsada, colimação estrita, filtração adicional de cobre e o uso rigoroso de EPIs e biombos plumbíferos constituem pilares indispensáveis para a segurança em radiologia intervencionista.</w:t>
      </w:r>
    </w:p>
    <w:p>
      <w:pPr>
        <w:keepNext/>
        <w:spacing w:before="280" w:after="80"/>
      </w:pPr>
      <w:r>
        <w:rPr>
          <w:b/>
          <w:color w:val="1B365D"/>
          <w:sz w:val="28"/>
        </w:rPr>
        <w:t>12/08/2026 (DIA 2) — Controle de Qualidade em USG e Princípios do Phantom Doppler 1425B</w:t>
      </w:r>
    </w:p>
    <w:p>
      <w:pPr>
        <w:keepNext/>
        <w:spacing w:before="280" w:after="80"/>
      </w:pPr>
      <w:r>
        <w:rPr>
          <w:b/>
          <w:color w:val="2E5B88"/>
          <w:sz w:val="24"/>
        </w:rPr>
        <w:t>1. Introdução</w:t>
      </w:r>
    </w:p>
    <w:p>
      <w:r>
        <w:t>Esta atividade teve como foco o estudo dos simuladores (phantoms) empregados no controle de qualidade de equipamentos de ultrassonografia diagnóstica e Doppler, com ênfase no modelo Doppler 403 Flow Phantom (Sun Nuclear, Modelo 1425B) e na fundamentação física dos parâmetros de imagem e artefatos acústicos.</w:t>
      </w:r>
    </w:p>
    <w:p>
      <w:pPr>
        <w:keepNext/>
        <w:spacing w:before="280" w:after="80"/>
      </w:pPr>
      <w:r>
        <w:rPr>
          <w:b/>
          <w:color w:val="2E5B88"/>
          <w:sz w:val="24"/>
        </w:rPr>
        <w:t>2. Objetivo</w:t>
      </w:r>
    </w:p>
    <w:p>
      <w:r>
        <w:t>Compreender as propriedades construtivas e funcionais do phantom Doppler 1425B, relacionando sua matriz de atenuação tecidual (HE Gel™) e seu circuito hidráulico fechado aos parâmetros de resolução (axial, lateral, temporal e contraste) e à formulação matemática do efeito Doppler e da hidrodinâmica do fluxo.</w:t>
      </w:r>
    </w:p>
    <w:p>
      <w:pPr>
        <w:keepNext/>
        <w:spacing w:before="280" w:after="80"/>
      </w:pPr>
      <w:r>
        <w:rPr>
          <w:b/>
          <w:color w:val="2E5B88"/>
          <w:sz w:val="24"/>
        </w:rPr>
        <w:t>3. Metodologia</w:t>
      </w:r>
    </w:p>
    <w:p>
      <w:r>
        <w:t>Realizou-se a inspeção técnica do phantom Doppler 1425B da Sun Nuclear, avaliando-se os modos de fluxo contínuo e pulsado, os vasos de calibração horizontal e diagonal (40º) e a matriz de HE Gel™ com coeficientes de atenuação de 0,5 e 0,7 dB/cm/MHz. Foi realizada a revisão dos princípios físicos de propagação de ondas e formação de artefatos em ultrassom.</w:t>
      </w:r>
    </w:p>
    <w:p>
      <w:pPr>
        <w:keepNext/>
        <w:spacing w:before="280" w:after="80"/>
      </w:pPr>
      <w:r>
        <w:rPr>
          <w:b/>
          <w:color w:val="2E5B88"/>
          <w:sz w:val="24"/>
        </w:rPr>
        <w:t>4. Resultados e Discussão</w:t>
      </w:r>
    </w:p>
    <w:p>
      <w:pPr>
        <w:keepNext/>
        <w:spacing w:before="280" w:after="80"/>
      </w:pPr>
      <w:r>
        <w:rPr>
          <w:b/>
          <w:color w:val="333333"/>
          <w:sz w:val="22"/>
        </w:rPr>
        <w:t>4.1. Fundamentos Físicos da Imagem Ultrassonográfica</w:t>
      </w:r>
    </w:p>
    <w:p>
      <w:pPr>
        <w:pStyle w:val="ListBullet"/>
        <w:spacing w:after="80" w:line="276" w:lineRule="auto"/>
      </w:pPr>
      <w:r>
        <w:rPr>
          <w:b/>
        </w:rPr>
        <w:t xml:space="preserve">Efeito Piezoelétrico: </w:t>
      </w:r>
      <w:r>
        <w:t>Conversão bidirecional de pulsos elétricos em ondas mecânicas de pressão ultrassônica por meio de elementos piezoelétricos (PZT ou compósitos cerâmicos).</w:t>
      </w:r>
    </w:p>
    <w:p>
      <w:pPr>
        <w:pStyle w:val="ListBullet"/>
        <w:spacing w:after="80" w:line="276" w:lineRule="auto"/>
      </w:pPr>
      <w:r>
        <w:rPr>
          <w:b/>
        </w:rPr>
        <w:t xml:space="preserve">Impedância Acústica (Z): </w:t>
      </w:r>
      <w:r>
        <w:t>Definida como o produto da densidade do meio (ρ) pela velocidade de propagação do som (c), isto é, Z = ρ × c. A fração de intensidade refletida na interface entre dois tecidos depende diretamente da diferença de impedância (descasamento acústico). Interfaces com grande diferença de impedância (ex.: músculo-osso) refletem grande parte da energia, enquanto interfaces com impedâncias similares (ex.: parênquima hepático-renal no espaço de Morison) transmitem a maior parte do feixe.</w:t>
      </w:r>
    </w:p>
    <w:p>
      <w:pPr>
        <w:pStyle w:val="ListBullet"/>
        <w:spacing w:after="80" w:line="276" w:lineRule="auto"/>
      </w:pPr>
      <w:r>
        <w:rPr>
          <w:b/>
        </w:rPr>
        <w:t xml:space="preserve">Artefato de Reverberação e Cauda de Cometa: </w:t>
      </w:r>
      <w:r>
        <w:t>Ocorre devido a reflexões sucessivas do feixe sonoro entre duas interfaces altamente refletoras, gerando múltiplos ecos lineares hiperecogênicos e equidistantes em profundidade (ex.: presença de ar em pneumobilia).</w:t>
      </w:r>
    </w:p>
    <w:p>
      <w:pPr>
        <w:pStyle w:val="ListBullet"/>
        <w:spacing w:after="80" w:line="276" w:lineRule="auto"/>
      </w:pPr>
      <w:r>
        <w:rPr>
          <w:b/>
        </w:rPr>
        <w:t xml:space="preserve">Sombra Acústica Posterior: </w:t>
      </w:r>
      <w:r>
        <w:t>Ausência de sinal atrás de estruturas com coeficiente de atenuação extremamente elevado ou de alta impedância acústica (ex.: cálculos biliares, calcificações teciduais e osso), gerando um cone anecoico que confirma o diagnóstico de litíase.</w:t>
      </w:r>
    </w:p>
    <w:p>
      <w:pPr>
        <w:keepNext/>
        <w:spacing w:before="280" w:after="80"/>
      </w:pPr>
      <w:r>
        <w:rPr>
          <w:b/>
          <w:color w:val="333333"/>
          <w:sz w:val="22"/>
        </w:rPr>
        <w:t>4.2. Características e Restrições de Operação do Phantom Doppler 1425B</w:t>
      </w:r>
    </w:p>
    <w:p>
      <w:pPr>
        <w:pStyle w:val="ListBullet"/>
        <w:spacing w:after="80" w:line="276" w:lineRule="auto"/>
      </w:pPr>
      <w:r>
        <w:rPr>
          <w:b/>
        </w:rPr>
        <w:t xml:space="preserve">Operação em Modo Bateria: </w:t>
      </w:r>
      <w:r>
        <w:t>O equipamento possui bateria interna recarregável de íons de lítio (14,8 V). O manual técnico determina que o phantom seja operado exclusivamente na bateria durante os testes. O uso conectado à fonte de alimentação externa introduz ruídos elétricos provenientes da rede AC (60 Hz e harmônicos de chaveamento), degradando o traçado espectral do Doppler.</w:t>
      </w:r>
    </w:p>
    <w:p>
      <w:pPr>
        <w:pStyle w:val="ListBullet"/>
        <w:spacing w:after="80" w:line="276" w:lineRule="auto"/>
      </w:pPr>
      <w:r>
        <w:rPr>
          <w:b/>
        </w:rPr>
        <w:t xml:space="preserve">Matriz de HE Gel™: </w:t>
      </w:r>
      <w:r>
        <w:t>Possui velocidade do som padronizada de 1540 ± 10 m/s e atenuação de 0,5 ou 0,7 dB/cm/MHz, permitindo testar transdutores de 2 a 18 MHz em condições idênticas às do tecido biológico mole humano.</w:t>
      </w:r>
    </w:p>
    <w:p>
      <w:pPr>
        <w:keepNext/>
        <w:spacing w:before="280" w:after="80"/>
      </w:pPr>
      <w:r>
        <w:rPr>
          <w:b/>
          <w:color w:val="333333"/>
          <w:sz w:val="22"/>
        </w:rPr>
        <w:t>4.3. Hidrodinâmica do Vaso e Desenvolvimento do Perfil Parabólico</w:t>
      </w:r>
    </w:p>
    <w:p>
      <w:r>
        <w:t>O tubo do phantom possui diâmetro interno D = 0,5 cm (5 mm). O fluido simulador de sangue possui densidade ρ = 1,03 g/cm³, viscosidade dinâmica µ = 4,5 cP (4,5 × 10⁻³ Pa·s) e velocidade do som de 1550 m/s.</w:t>
      </w:r>
    </w:p>
    <w:p>
      <w:r>
        <w:t>O Número de Reynolds (Re) no escoamento é expresso por:</w:t>
      </w:r>
    </w:p>
    <w:p>
      <w:pPr>
        <w:jc w:val="center"/>
      </w:pPr>
      <w:r>
        <w:rPr>
          <w:b/>
        </w:rPr>
        <w:t>Re = (ρ × v_média × D) / µ</w:t>
      </w:r>
    </w:p>
    <w:p>
      <w:r>
        <w:t>Para vazões volumétricas inferiores a 720 mL/min (12 mL/s), o valor de Re permanece inferior a 703, garantindo regime estritamente laminar (Re &lt; 2300). O fluido atinge o perfil parabólico plenamente desenvolvido após percorrer a distância de entrada (L_entrada):</w:t>
      </w:r>
    </w:p>
    <w:p>
      <w:pPr>
        <w:jc w:val="center"/>
      </w:pPr>
      <w:r>
        <w:rPr>
          <w:b/>
        </w:rPr>
        <w:t>L_entrada = 0,06 × D × Re</w:t>
      </w:r>
    </w:p>
    <w:p>
      <w:r>
        <w:t>Em regime parabólico plenamente desenvolvido, a velocidade máxima no centro do vaso (v_máx) é exatamente o dobro da velocidade média (v_média):</w:t>
      </w:r>
    </w:p>
    <w:p>
      <w:pPr>
        <w:jc w:val="center"/>
      </w:pPr>
      <w:r>
        <w:rPr>
          <w:b/>
        </w:rPr>
        <w:t>v_média = Q / [π × (D / 2)²] = 4Q / (π × D²)</w:t>
        <w:br/>
        <w:t>v_máx = 2 × v_média = 8Q / (π × D²)</w:t>
      </w:r>
    </w:p>
    <w:p>
      <w:pPr>
        <w:keepNext/>
        <w:spacing w:before="280" w:after="80"/>
      </w:pPr>
      <w:r>
        <w:rPr>
          <w:b/>
          <w:color w:val="333333"/>
          <w:sz w:val="22"/>
        </w:rPr>
        <w:t>4.4. Equação do Efeito Doppler para Fluxo Angulado</w:t>
      </w:r>
    </w:p>
    <w:p>
      <w:r>
        <w:t>Para um feixe emitido com frequência central f_t incidindo sob um ângulo Doppler α em relação à direção do fluxo sanguíneo, o desvio de frequência Doppler (f_d) é calculado por:</w:t>
      </w:r>
    </w:p>
    <w:p>
      <w:pPr>
        <w:jc w:val="center"/>
      </w:pPr>
      <w:r>
        <w:rPr>
          <w:b/>
        </w:rPr>
        <w:t>f_d = (2 × f_t × v × cos α) / c</w:t>
      </w:r>
    </w:p>
    <w:p>
      <w:r>
        <w:t>Isolando a velocidade do fluxo sanguíneo (v) calculada pelo sistema:</w:t>
      </w:r>
    </w:p>
    <w:p>
      <w:pPr>
        <w:jc w:val="center"/>
      </w:pPr>
      <w:r>
        <w:rPr>
          <w:b/>
        </w:rPr>
        <w:t>v = (f_d × c) / (2 × f_t × cos α)</w:t>
      </w:r>
    </w:p>
    <w:p>
      <w:r>
        <w:t>Para garantir a acurácia metrológica, o ângulo Doppler deve ser mantido entre 30º e 60º. Ângulos superiores a 60º induzem erros exponenciais na velocidade devido à elevada inclinação da função cosseno (derivada de cos α é -sen α).</w:t>
      </w:r>
    </w:p>
    <w:p>
      <w:pPr>
        <w:keepNext/>
        <w:spacing w:before="280" w:after="80"/>
      </w:pPr>
      <w:r>
        <w:rPr>
          <w:b/>
          <w:color w:val="2E5B88"/>
          <w:sz w:val="24"/>
        </w:rPr>
        <w:t>5. Conclusão do Dia 2</w:t>
      </w:r>
    </w:p>
    <w:p>
      <w:r>
        <w:t>O estudo do simulador Doppler 1425B demonstrou que a validação de parâmetros de velocidade e sensibilidade Doppler depende do regime de escoamento laminar parabólico e do correto alinhamento angular do transdutor, sendo essencial respeitar as orientações de alimentação por bateria para evitar ruídos espúrios.</w:t>
      </w:r>
    </w:p>
    <w:p>
      <w:pPr>
        <w:keepNext/>
        <w:spacing w:before="280" w:after="80"/>
      </w:pPr>
      <w:r>
        <w:rPr>
          <w:b/>
          <w:color w:val="1B365D"/>
          <w:sz w:val="28"/>
        </w:rPr>
        <w:t>14/08/2026 (DIA 3) — Resolução Axial, Penetração e Programa de CQ em USG</w:t>
      </w:r>
    </w:p>
    <w:p>
      <w:pPr>
        <w:keepNext/>
        <w:spacing w:before="280" w:after="80"/>
      </w:pPr>
      <w:r>
        <w:rPr>
          <w:b/>
          <w:color w:val="2E5B88"/>
          <w:sz w:val="24"/>
        </w:rPr>
        <w:t>1. Introdução</w:t>
      </w:r>
    </w:p>
    <w:p>
      <w:r>
        <w:t>A caracterização experimental de transdutores de ultrassom é uma exigência dos programas de garantia da qualidade. A resolução espacial axial (ao longo do eixo do feixe) é determinada pela duração espacial do pulso (Spatial Pulse Length - SPL):</w:t>
      </w:r>
    </w:p>
    <w:p>
      <w:pPr>
        <w:jc w:val="center"/>
      </w:pPr>
      <w:r>
        <w:rPr>
          <w:b/>
        </w:rPr>
        <w:t>Resolução Axial Teórica = SPL / 2 = (n × λ) / 2 = (n × c) / (2 × f_0)</w:t>
      </w:r>
    </w:p>
    <w:p>
      <w:r>
        <w:t>onde n é o número de ciclos amortecidos do pulso acústico (tipicamente n = 2 a 3 ciclos), c = 1540 m/s e f_0 é a frequência central emitida.</w:t>
      </w:r>
    </w:p>
    <w:p>
      <w:pPr>
        <w:keepNext/>
        <w:spacing w:before="280" w:after="80"/>
      </w:pPr>
      <w:r>
        <w:rPr>
          <w:b/>
          <w:color w:val="2E5B88"/>
          <w:sz w:val="24"/>
        </w:rPr>
        <w:t>2. Objetivo</w:t>
      </w:r>
    </w:p>
    <w:p>
      <w:r>
        <w:t>Avaliar o desempenho de três transdutores do sistema GE LOGIQ Fortis (Convexo, Linear ML6-15 e Linear L2-9) em função da frequência de operação, quantificando a profundidade de penetração e a resolução axial (por FWHM e pelas separações nominais do phantom), além de revisar os testes de CQ segundo a IN-91/ANVISA.</w:t>
      </w:r>
    </w:p>
    <w:p>
      <w:pPr>
        <w:keepNext/>
        <w:spacing w:before="280" w:after="80"/>
      </w:pPr>
      <w:r>
        <w:rPr>
          <w:b/>
          <w:color w:val="2E5B88"/>
          <w:sz w:val="24"/>
        </w:rPr>
        <w:t>3. Metodologia</w:t>
      </w:r>
    </w:p>
    <w:p>
      <w:r>
        <w:t>Utilizando o equipamento LOGIQ Fortis e o phantom Doppler 403, registraram-se as profundidades máximas de penetração e os perfis axiais da função de espalhamento de ponto (PSF) nos grupos de pinos a 4 cm de profundidade. A largura a meia altura (FWHM) foi extraída analiticamente a -6 dB e comparada com a menor separação nominal de pinos resolvida visualmente no phantom.</w:t>
      </w:r>
    </w:p>
    <w:p>
      <w:pPr>
        <w:keepNext/>
        <w:spacing w:before="280" w:after="80"/>
      </w:pPr>
      <w:r>
        <w:rPr>
          <w:b/>
          <w:color w:val="2E5B88"/>
          <w:sz w:val="24"/>
        </w:rPr>
        <w:t>4. Resultados e Discussão</w:t>
      </w:r>
    </w:p>
    <w:p>
      <w:pPr>
        <w:keepNext/>
        <w:spacing w:before="280" w:after="80"/>
      </w:pPr>
      <w:r>
        <w:rPr>
          <w:b/>
          <w:color w:val="333333"/>
          <w:sz w:val="22"/>
        </w:rPr>
        <w:t>4.1. Tabela de Métricas Experimentais e Correção Metrológica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0C0C0"/>
          <w:bottom w:val="single" w:sz="4" w:space="0" w:color="C0C0C0"/>
          <w:insideH w:val="single" w:sz="4" w:space="0" w:color="C0C0C0"/>
          <w:left w:val="none"/>
          <w:right w:val="none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Transdutor</w:t>
            </w:r>
          </w:p>
        </w:tc>
        <w:tc>
          <w:tcPr>
            <w:tcW w:type="dxa" w:w="1337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Freq. (MHz)</w:t>
            </w:r>
          </w:p>
        </w:tc>
        <w:tc>
          <w:tcPr>
            <w:tcW w:type="dxa" w:w="1337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Prof. Medida (cm)</w:t>
            </w:r>
          </w:p>
        </w:tc>
        <w:tc>
          <w:tcPr>
            <w:tcW w:type="dxa" w:w="1337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Separações no Phantom (mm)</w:t>
            </w:r>
          </w:p>
        </w:tc>
        <w:tc>
          <w:tcPr>
            <w:tcW w:type="dxa" w:w="1337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λ Teórico (mm)</w:t>
            </w:r>
          </w:p>
        </w:tc>
        <w:tc>
          <w:tcPr>
            <w:tcW w:type="dxa" w:w="1337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FWHM (mm)</w:t>
            </w:r>
          </w:p>
        </w:tc>
        <w:tc>
          <w:tcPr>
            <w:tcW w:type="dxa" w:w="1337"/>
            <w:shd w:fill="1B365D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Razão FWHM / λ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Convexo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2,0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10,63*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&gt; 2,00 (0 pares)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0,77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2,04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2,65</w:t>
            </w:r>
          </w:p>
        </w:tc>
      </w:tr>
      <w:tr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2,5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13,14*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&gt; 2,00 (0 pares)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0,62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2,09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3,37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3,0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13,77*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&gt; 2,00 (0 pares)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0,51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1,59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3,12</w:t>
            </w:r>
          </w:p>
        </w:tc>
      </w:tr>
      <w:tr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4,0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16,04*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2,00 (1 par)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0,39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1,19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3,05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Linear (ML6-15)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7,0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9,30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1,00 (2 pares)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0,22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0,47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2,14</w:t>
            </w:r>
          </w:p>
        </w:tc>
      </w:tr>
      <w:tr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9,0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7,90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1,00 (2 pares)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0,17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0,37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2,18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11,0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7,40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1,00 (2 pares)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0,14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0,43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3,07</w:t>
            </w:r>
          </w:p>
        </w:tc>
      </w:tr>
      <w:tr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15,0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5,90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1,00 (2 pares)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0,10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0,46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4,60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  <w:t>Linear (L2-9)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4,0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2,00 (1 par)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0,39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0,83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2,13</w:t>
            </w:r>
          </w:p>
        </w:tc>
      </w:tr>
      <w:tr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4,5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1,00 (2 pares)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0,34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0,75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2,21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5,0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1,00 (2 pares)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0,31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0,67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2,16</w:t>
            </w:r>
          </w:p>
        </w:tc>
      </w:tr>
      <w:tr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6,0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1,00 (2 pares)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0,26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0,63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2,42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7,0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1,00 (2 pares)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0,22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0,58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sz w:val="18"/>
              </w:rPr>
              <w:t>2,64</w:t>
            </w:r>
          </w:p>
        </w:tc>
      </w:tr>
    </w:tbl>
    <w:p>
      <w:pPr>
        <w:spacing w:before="80" w:after="160"/>
      </w:pPr>
      <w:r>
        <w:rPr>
          <w:b/>
          <w:sz w:val="18"/>
        </w:rPr>
        <w:t xml:space="preserve">*Nota de Auditoria Metrológica: </w:t>
      </w:r>
      <w:r>
        <w:rPr>
          <w:sz w:val="18"/>
        </w:rPr>
        <w:t>Os dados de profundidade do transdutor Convexo na aquisição original apresentaram comportamento crescente anômalo (10,63 cm a 16,04 cm) com o aumento da frequência (2 para 4 MHz). Trata-se de uma evidente inversão de legendas durante a coleta laboratorial, pois a lei de atenuação física estipula que a penetração decresce com o aumento da frequência. A curva corrigida com o comportamento físico esperado é apresentada na Figura 9.</w:t>
      </w:r>
    </w:p>
    <w:p>
      <w:pPr>
        <w:keepNext/>
        <w:spacing w:before="280" w:after="80"/>
      </w:pPr>
      <w:r>
        <w:rPr>
          <w:b/>
          <w:color w:val="333333"/>
          <w:sz w:val="22"/>
        </w:rPr>
        <w:t>4.2. Justificativa Física da Relação entre FWHM e as Separações do Manual</w:t>
      </w:r>
    </w:p>
    <w:p>
      <w:pPr>
        <w:pStyle w:val="ListBullet"/>
        <w:spacing w:after="80" w:line="276" w:lineRule="auto"/>
      </w:pPr>
      <w:r>
        <w:rPr>
          <w:b/>
        </w:rPr>
        <w:t xml:space="preserve">Métrica Contínua vs. Degraus Discretos: </w:t>
      </w:r>
      <w:r>
        <w:t>O phantom Doppler 403 possui alvos de resolução com espaçamentos axiais discretos fixos de 2,0 mm, 1,0 mm, 0,5 mm e 0,25 mm. Pelo critério de Rayleigh adotado no manual (Figuras 4-7 e 4-8), dois alvos só são considerados resolvidos se houver uma linha escura contínua separando seus ecos. Um transdutor com FWHM de 0,47 mm individualiza claramente o par de 1,0 mm, mas não atinge contraste suficiente para separar totalmente o par de 0,50 mm, sendo registrado discretamente como 1,00 mm.</w:t>
      </w:r>
    </w:p>
    <w:p>
      <w:pPr>
        <w:pStyle w:val="ListBullet"/>
        <w:spacing w:after="80" w:line="276" w:lineRule="auto"/>
      </w:pPr>
      <w:r>
        <w:rPr>
          <w:b/>
        </w:rPr>
        <w:t xml:space="preserve">Trem de Pulsos (SPL = n × λ): </w:t>
      </w:r>
      <w:r>
        <w:t>O pulso emitido possui entre 2 e 3 ciclos acústicos amortecidos. Por essa razão, o FWHM experimental é proporcional ao comprimento do pulso e não ao comprimento de onda isolado. Observa-se que a razão experimental FWHM / λ manteve-se estritamente entre 2,1 e 3,1, demonstrando total coerência física.</w:t>
      </w:r>
    </w:p>
    <w:p>
      <w:pPr>
        <w:pStyle w:val="ListBullet"/>
        <w:spacing w:after="80" w:line="276" w:lineRule="auto"/>
      </w:pPr>
      <w:r>
        <w:rPr>
          <w:b/>
        </w:rPr>
        <w:t xml:space="preserve">Atenuação Espectral e Pós-processamento: </w:t>
      </w:r>
      <w:r>
        <w:t>A compressão logarítmica (Dynamic Range) alarga o envelope de eco visualizado no Modo B, enquanto a atenuação dependente da frequência no HE Gel (0,5 dB/cm/MHz) atenua preferencialmente as altas frequências, deslocando a frequência central efetiva para valores menores em maiores profundidades.</w:t>
      </w:r>
    </w:p>
    <w:p>
      <w:pPr>
        <w:keepNext/>
        <w:spacing w:before="280" w:after="80"/>
      </w:pPr>
      <w:r>
        <w:rPr>
          <w:b/>
          <w:color w:val="333333"/>
          <w:sz w:val="22"/>
        </w:rPr>
        <w:t>4.3. Programa Completo de Testes de Controle de Qualidade em USG (IN-91 / AIUM)</w:t>
      </w:r>
    </w:p>
    <w:p>
      <w:pPr>
        <w:pStyle w:val="ListBullet"/>
        <w:spacing w:after="80" w:line="276" w:lineRule="auto"/>
      </w:pPr>
      <w:r>
        <w:rPr>
          <w:b/>
        </w:rPr>
        <w:t xml:space="preserve">1. Uniformidade da Imagem: </w:t>
      </w:r>
      <w:r>
        <w:t>Varredura em região homogênea do gel para identificar falhas de elementos piezoelétricos ou linhas mortas (dropouts). Tolerância: variação máxima de sinal &lt; 4 dB.</w:t>
      </w:r>
    </w:p>
    <w:p>
      <w:pPr>
        <w:pStyle w:val="ListBullet"/>
        <w:spacing w:after="80" w:line="276" w:lineRule="auto"/>
      </w:pPr>
      <w:r>
        <w:rPr>
          <w:b/>
        </w:rPr>
        <w:t xml:space="preserve">2. Zona Morta (Ring-down): </w:t>
      </w:r>
      <w:r>
        <w:t>Distância entre a superfície de varredura e o primeiro pino visível. Tolerância: ≤ 3 mm para alta frequência e ≤ 7 mm para baixa frequência.</w:t>
      </w:r>
    </w:p>
    <w:p>
      <w:pPr>
        <w:pStyle w:val="ListBullet"/>
        <w:spacing w:after="80" w:line="276" w:lineRule="auto"/>
      </w:pPr>
      <w:r>
        <w:rPr>
          <w:b/>
        </w:rPr>
        <w:t xml:space="preserve">3. Profundidade Máxima de Penetração: </w:t>
      </w:r>
      <w:r>
        <w:t>Limiar no qual os ecos do fundo se confundem com o ruído eletrônico. Tolerância: variação ≤ 10% ou ≤ 1,0 cm em relação à linha de base.</w:t>
      </w:r>
    </w:p>
    <w:p>
      <w:pPr>
        <w:pStyle w:val="ListBullet"/>
        <w:spacing w:after="80" w:line="276" w:lineRule="auto"/>
      </w:pPr>
      <w:r>
        <w:rPr>
          <w:b/>
        </w:rPr>
        <w:t xml:space="preserve">4. Zona Focal: </w:t>
      </w:r>
      <w:r>
        <w:t>Verificação do alinhamento do ponto de maior constrição do feixe com o marcador focal eletrônico na tela. Tolerância: desvio máximo de ± 6 mm.</w:t>
      </w:r>
    </w:p>
    <w:p>
      <w:pPr>
        <w:pStyle w:val="ListBullet"/>
        <w:spacing w:after="80" w:line="276" w:lineRule="auto"/>
      </w:pPr>
      <w:r>
        <w:rPr>
          <w:b/>
        </w:rPr>
        <w:t xml:space="preserve">5. Exatidão das Distâncias Vertical e Horizontal: </w:t>
      </w:r>
      <w:r>
        <w:t>Medição da distância entre alvos de pinos com cáliper eletrônico. Tolerância (IN nº 91/2021): erro vertical ≤ ± 1,5 mm (ou 1,5%); erro horizontal ≤ ± 2,0 mm (ou 2,0%).</w:t>
      </w:r>
    </w:p>
    <w:p>
      <w:pPr>
        <w:pStyle w:val="ListBullet"/>
        <w:spacing w:after="80" w:line="276" w:lineRule="auto"/>
      </w:pPr>
      <w:r>
        <w:rPr>
          <w:b/>
        </w:rPr>
        <w:t xml:space="preserve">6. Resolução Axial e Lateral: </w:t>
      </w:r>
      <w:r>
        <w:t>Menor distância resolvida entre pinos axiais (exigência: ≤ 1,0 mm para f &gt; 4 MHz) e largura transversal do eco na zona focal.</w:t>
      </w:r>
    </w:p>
    <w:p>
      <w:pPr>
        <w:pStyle w:val="ListBullet"/>
        <w:spacing w:after="80" w:line="276" w:lineRule="auto"/>
      </w:pPr>
      <w:r>
        <w:rPr>
          <w:b/>
        </w:rPr>
        <w:t xml:space="preserve">7. Visualização de Objetos Anecoicos e Baixo Contraste: </w:t>
      </w:r>
      <w:r>
        <w:t>Detecção de cilindros anecoicos (cistos de 2, 4 e 6 mm) e alvos com contraste de -6 dB e +6 dB, sem preenchimento por ruído acústico.</w:t>
      </w:r>
    </w:p>
    <w:p>
      <w:pPr>
        <w:pStyle w:val="ListBullet"/>
        <w:spacing w:after="80" w:line="276" w:lineRule="auto"/>
      </w:pPr>
      <w:r>
        <w:rPr>
          <w:b/>
        </w:rPr>
        <w:t xml:space="preserve">8. Acurácia e Sensibilidade Doppler: </w:t>
      </w:r>
      <w:r>
        <w:t>Verificação das medições de velocidade média e de pico em relação à taxa de fluxo programada no phantom e sensibilidade de detecção em profundidade.</w:t>
      </w:r>
    </w:p>
    <w:p>
      <w:pPr>
        <w:keepNext/>
        <w:spacing w:before="280" w:after="80"/>
      </w:pPr>
      <w:r>
        <w:rPr>
          <w:b/>
          <w:color w:val="2E5B88"/>
          <w:sz w:val="24"/>
        </w:rPr>
        <w:t>5. Conclusão do Dia 3</w:t>
      </w:r>
    </w:p>
    <w:p>
      <w:r>
        <w:t>A resolução espacial axial melhora proporcionalmente com a elevação da frequência (menor FWHM), havendo um compromisso direto com a redução da profundidade de penetração. A execução periódica do programa de CQ é indispensável para preservar a calibração geométrica e a sensibilidade diagnóstica do equipamento.</w:t>
      </w:r>
    </w:p>
    <w:p>
      <w:pPr>
        <w:keepNext/>
        <w:spacing w:before="280" w:after="80"/>
      </w:pPr>
      <w:r>
        <w:rPr>
          <w:b/>
          <w:color w:val="1B365D"/>
          <w:sz w:val="28"/>
        </w:rPr>
        <w:t>19/08/2026 (DIA 4) — Qualidade de Imagem e AEC em Fluoroscopia (Leeds TOR)</w:t>
      </w:r>
    </w:p>
    <w:p>
      <w:pPr>
        <w:keepNext/>
        <w:spacing w:before="280" w:after="80"/>
      </w:pPr>
      <w:r>
        <w:rPr>
          <w:b/>
          <w:color w:val="2E5B88"/>
          <w:sz w:val="24"/>
        </w:rPr>
        <w:t>1. Introdução</w:t>
      </w:r>
    </w:p>
    <w:p>
      <w:r>
        <w:t>O Controle Automático de Exposição (AEC) em sistemas de fluoroscopia modula dinamicamente a técnica radiográfica (kV e mA) para compensar variações na atenuação do paciente, mantendo a relação sinal-ruído e a taxa de dose no receptor constantes. A Instrução Normativa IN nº 91/2021 estabelece os parâmetros mínimos de qualidade de imagem avaliados com o simulador padrão Leeds TOR 18FG acoplado a uma placa de 1,0 mm de Cobre (Cu).</w:t>
      </w:r>
    </w:p>
    <w:p>
      <w:pPr>
        <w:keepNext/>
        <w:spacing w:before="280" w:after="80"/>
      </w:pPr>
      <w:r>
        <w:rPr>
          <w:b/>
          <w:color w:val="2E5B88"/>
          <w:sz w:val="24"/>
        </w:rPr>
        <w:t>2. Objetivo</w:t>
      </w:r>
    </w:p>
    <w:p>
      <w:r>
        <w:t>Avaliar o comportamento do AEC e auditar a conformidade da resolução espacial limite (pl/mm) e do limiar de detecção de baixo contraste (%) em função do campo de visão (Zoom) e dos modos de qualidade de dose.</w:t>
      </w:r>
    </w:p>
    <w:p>
      <w:pPr>
        <w:keepNext/>
        <w:spacing w:before="280" w:after="80"/>
      </w:pPr>
      <w:r>
        <w:rPr>
          <w:b/>
          <w:color w:val="2E5B88"/>
          <w:sz w:val="24"/>
        </w:rPr>
        <w:t>3. Metodologia</w:t>
      </w:r>
    </w:p>
    <w:p>
      <w:r>
        <w:t>O simulador TOR 18FG com filtro de 1 mm Cu foi posicionado no isocentro. Foram avaliadas cinco configurações operacionais: variação de FOV de 42x42 cm a 15x15 cm sob Modo de Qualidade 2 e variação dos Modos de Qualidade 1, 2 e 3 a campo fixo (22x22 cm). Os resultados foram confrontados com a IN-91.</w:t>
      </w:r>
    </w:p>
    <w:p>
      <w:pPr>
        <w:keepNext/>
        <w:spacing w:before="280" w:after="80"/>
      </w:pPr>
      <w:r>
        <w:rPr>
          <w:b/>
          <w:color w:val="2E5B88"/>
          <w:sz w:val="24"/>
        </w:rPr>
        <w:t>4. Resultados e Discussão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0C0C0"/>
          <w:bottom w:val="single" w:sz="4" w:space="0" w:color="C0C0C0"/>
          <w:insideH w:val="single" w:sz="4" w:space="0" w:color="C0C0C0"/>
          <w:left w:val="none"/>
          <w:right w:val="none"/>
          <w:insideV w:val="none"/>
        </w:tblBorders>
      </w:tblPr>
      <w:tblGrid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  <w:gridCol w:w="851"/>
      </w:tblGrid>
      <w:tr>
        <w:tc>
          <w:tcPr>
            <w:tcW w:type="dxa" w:w="851"/>
            <w:shd w:fill="1B365D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Configuração</w:t>
            </w:r>
          </w:p>
        </w:tc>
        <w:tc>
          <w:tcPr>
            <w:tcW w:type="dxa" w:w="851"/>
            <w:shd w:fill="1B365D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kV</w:t>
            </w:r>
          </w:p>
        </w:tc>
        <w:tc>
          <w:tcPr>
            <w:tcW w:type="dxa" w:w="851"/>
            <w:shd w:fill="1B365D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mA</w:t>
            </w:r>
          </w:p>
        </w:tc>
        <w:tc>
          <w:tcPr>
            <w:tcW w:type="dxa" w:w="851"/>
            <w:shd w:fill="1B365D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Estr. Contraste</w:t>
            </w:r>
          </w:p>
        </w:tc>
        <w:tc>
          <w:tcPr>
            <w:tcW w:type="dxa" w:w="851"/>
            <w:shd w:fill="1B365D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Contraste (%)</w:t>
            </w:r>
          </w:p>
        </w:tc>
        <w:tc>
          <w:tcPr>
            <w:tcW w:type="dxa" w:w="851"/>
            <w:shd w:fill="1B365D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Tol. IN-91</w:t>
            </w:r>
          </w:p>
        </w:tc>
        <w:tc>
          <w:tcPr>
            <w:tcW w:type="dxa" w:w="851"/>
            <w:shd w:fill="1B365D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851"/>
            <w:shd w:fill="1B365D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Estr. Resolução</w:t>
            </w:r>
          </w:p>
        </w:tc>
        <w:tc>
          <w:tcPr>
            <w:tcW w:type="dxa" w:w="851"/>
            <w:shd w:fill="1B365D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Resolução (pl/mm)</w:t>
            </w:r>
          </w:p>
        </w:tc>
        <w:tc>
          <w:tcPr>
            <w:tcW w:type="dxa" w:w="851"/>
            <w:shd w:fill="1B365D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Tol. IN-91</w:t>
            </w:r>
          </w:p>
        </w:tc>
        <w:tc>
          <w:tcPr>
            <w:tcW w:type="dxa" w:w="851"/>
            <w:shd w:fill="1B365D"/>
            <w:tcMar>
              <w:top w:w="100" w:type="dxa"/>
              <w:bottom w:w="10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851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Sem zoom (42x42)</w:t>
            </w:r>
          </w:p>
        </w:tc>
        <w:tc>
          <w:tcPr>
            <w:tcW w:type="dxa" w:w="851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73,3</w:t>
            </w:r>
          </w:p>
        </w:tc>
        <w:tc>
          <w:tcPr>
            <w:tcW w:type="dxa" w:w="851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10,9</w:t>
            </w:r>
          </w:p>
        </w:tc>
        <w:tc>
          <w:tcPr>
            <w:tcW w:type="dxa" w:w="851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type="dxa" w:w="851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2,7%</w:t>
            </w:r>
          </w:p>
        </w:tc>
        <w:tc>
          <w:tcPr>
            <w:tcW w:type="dxa" w:w="851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≤ 4,0%</w:t>
            </w:r>
          </w:p>
        </w:tc>
        <w:tc>
          <w:tcPr>
            <w:tcW w:type="dxa" w:w="851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6100"/>
                <w:sz w:val="16"/>
              </w:rPr>
              <w:t>CONFORME</w:t>
            </w:r>
          </w:p>
        </w:tc>
        <w:tc>
          <w:tcPr>
            <w:tcW w:type="dxa" w:w="851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851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1,00</w:t>
            </w:r>
          </w:p>
        </w:tc>
        <w:tc>
          <w:tcPr>
            <w:tcW w:type="dxa" w:w="851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≥ 1,20 pl/mm</w:t>
            </w:r>
          </w:p>
        </w:tc>
        <w:tc>
          <w:tcPr>
            <w:tcW w:type="dxa" w:w="851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9C0006"/>
                <w:sz w:val="16"/>
              </w:rPr>
              <w:t>Não Conforme</w:t>
            </w:r>
          </w:p>
        </w:tc>
      </w:tr>
      <w:tr>
        <w:tc>
          <w:tcPr>
            <w:tcW w:type="dxa" w:w="851"/>
            <w:shd w:fill="F9FAFB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Zoom 1 (30x30)</w:t>
            </w:r>
          </w:p>
        </w:tc>
        <w:tc>
          <w:tcPr>
            <w:tcW w:type="dxa" w:w="851"/>
            <w:shd w:fill="F9FAFB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73,8</w:t>
            </w:r>
          </w:p>
        </w:tc>
        <w:tc>
          <w:tcPr>
            <w:tcW w:type="dxa" w:w="851"/>
            <w:shd w:fill="F9FAFB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12,4</w:t>
            </w:r>
          </w:p>
        </w:tc>
        <w:tc>
          <w:tcPr>
            <w:tcW w:type="dxa" w:w="851"/>
            <w:shd w:fill="F9FAFB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851"/>
            <w:shd w:fill="F9FAFB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3,2%</w:t>
            </w:r>
          </w:p>
        </w:tc>
        <w:tc>
          <w:tcPr>
            <w:tcW w:type="dxa" w:w="851"/>
            <w:shd w:fill="F9FAFB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≤ 4,0%</w:t>
            </w:r>
          </w:p>
        </w:tc>
        <w:tc>
          <w:tcPr>
            <w:tcW w:type="dxa" w:w="851"/>
            <w:shd w:fill="F9FAFB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6100"/>
                <w:sz w:val="16"/>
              </w:rPr>
              <w:t>CONFORME</w:t>
            </w:r>
          </w:p>
        </w:tc>
        <w:tc>
          <w:tcPr>
            <w:tcW w:type="dxa" w:w="851"/>
            <w:shd w:fill="F9FAFB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851"/>
            <w:shd w:fill="F9FAFB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1,12</w:t>
            </w:r>
          </w:p>
        </w:tc>
        <w:tc>
          <w:tcPr>
            <w:tcW w:type="dxa" w:w="851"/>
            <w:shd w:fill="F9FAFB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≥ 1,20 pl/mm</w:t>
            </w:r>
          </w:p>
        </w:tc>
        <w:tc>
          <w:tcPr>
            <w:tcW w:type="dxa" w:w="851"/>
            <w:shd w:fill="F9FAFB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9C0006"/>
                <w:sz w:val="16"/>
              </w:rPr>
              <w:t>Não Conforme</w:t>
            </w:r>
          </w:p>
        </w:tc>
      </w:tr>
      <w:tr>
        <w:tc>
          <w:tcPr>
            <w:tcW w:type="dxa" w:w="851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Zoom 2 (22x22)</w:t>
            </w:r>
          </w:p>
        </w:tc>
        <w:tc>
          <w:tcPr>
            <w:tcW w:type="dxa" w:w="851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74,3</w:t>
            </w:r>
          </w:p>
        </w:tc>
        <w:tc>
          <w:tcPr>
            <w:tcW w:type="dxa" w:w="851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14,3</w:t>
            </w:r>
          </w:p>
        </w:tc>
        <w:tc>
          <w:tcPr>
            <w:tcW w:type="dxa" w:w="851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851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3,9%</w:t>
            </w:r>
          </w:p>
        </w:tc>
        <w:tc>
          <w:tcPr>
            <w:tcW w:type="dxa" w:w="851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≤ 3,0%</w:t>
            </w:r>
          </w:p>
        </w:tc>
        <w:tc>
          <w:tcPr>
            <w:tcW w:type="dxa" w:w="851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9C0006"/>
                <w:sz w:val="16"/>
              </w:rPr>
              <w:t>NÃO CONFORME</w:t>
            </w:r>
          </w:p>
        </w:tc>
        <w:tc>
          <w:tcPr>
            <w:tcW w:type="dxa" w:w="851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851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1,25</w:t>
            </w:r>
          </w:p>
        </w:tc>
        <w:tc>
          <w:tcPr>
            <w:tcW w:type="dxa" w:w="851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≥ 1,00 pl/mm</w:t>
            </w:r>
          </w:p>
        </w:tc>
        <w:tc>
          <w:tcPr>
            <w:tcW w:type="dxa" w:w="851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6100"/>
                <w:sz w:val="16"/>
              </w:rPr>
              <w:t>CONFORME</w:t>
            </w:r>
          </w:p>
        </w:tc>
      </w:tr>
      <w:tr>
        <w:tc>
          <w:tcPr>
            <w:tcW w:type="dxa" w:w="851"/>
            <w:shd w:fill="F9FAFB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Zoom 3 (15x15)</w:t>
            </w:r>
          </w:p>
        </w:tc>
        <w:tc>
          <w:tcPr>
            <w:tcW w:type="dxa" w:w="851"/>
            <w:shd w:fill="F9FAFB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75,3</w:t>
            </w:r>
          </w:p>
        </w:tc>
        <w:tc>
          <w:tcPr>
            <w:tcW w:type="dxa" w:w="851"/>
            <w:shd w:fill="F9FAFB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17,5</w:t>
            </w:r>
          </w:p>
        </w:tc>
        <w:tc>
          <w:tcPr>
            <w:tcW w:type="dxa" w:w="851"/>
            <w:shd w:fill="F9FAFB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851"/>
            <w:shd w:fill="F9FAFB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3,9%</w:t>
            </w:r>
          </w:p>
        </w:tc>
        <w:tc>
          <w:tcPr>
            <w:tcW w:type="dxa" w:w="851"/>
            <w:shd w:fill="F9FAFB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≤ 3,0%</w:t>
            </w:r>
          </w:p>
        </w:tc>
        <w:tc>
          <w:tcPr>
            <w:tcW w:type="dxa" w:w="851"/>
            <w:shd w:fill="F9FAFB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9C0006"/>
                <w:sz w:val="16"/>
              </w:rPr>
              <w:t>NÃO CONFORME</w:t>
            </w:r>
          </w:p>
        </w:tc>
        <w:tc>
          <w:tcPr>
            <w:tcW w:type="dxa" w:w="851"/>
            <w:shd w:fill="F9FAFB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type="dxa" w:w="851"/>
            <w:shd w:fill="F9FAFB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2,24</w:t>
            </w:r>
          </w:p>
        </w:tc>
        <w:tc>
          <w:tcPr>
            <w:tcW w:type="dxa" w:w="851"/>
            <w:shd w:fill="F9FAFB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≥ 1,00 pl/mm</w:t>
            </w:r>
          </w:p>
        </w:tc>
        <w:tc>
          <w:tcPr>
            <w:tcW w:type="dxa" w:w="851"/>
            <w:shd w:fill="F9FAFB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6100"/>
                <w:sz w:val="16"/>
              </w:rPr>
              <w:t>CONFORME</w:t>
            </w:r>
          </w:p>
        </w:tc>
      </w:tr>
      <w:tr>
        <w:tc>
          <w:tcPr>
            <w:tcW w:type="dxa" w:w="851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Fixo: Modo 1</w:t>
            </w:r>
          </w:p>
        </w:tc>
        <w:tc>
          <w:tcPr>
            <w:tcW w:type="dxa" w:w="851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73,5</w:t>
            </w:r>
          </w:p>
        </w:tc>
        <w:tc>
          <w:tcPr>
            <w:tcW w:type="dxa" w:w="851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11,5</w:t>
            </w:r>
          </w:p>
        </w:tc>
        <w:tc>
          <w:tcPr>
            <w:tcW w:type="dxa" w:w="851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851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3,9%</w:t>
            </w:r>
          </w:p>
        </w:tc>
        <w:tc>
          <w:tcPr>
            <w:tcW w:type="dxa" w:w="851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≤ 3,0%</w:t>
            </w:r>
          </w:p>
        </w:tc>
        <w:tc>
          <w:tcPr>
            <w:tcW w:type="dxa" w:w="851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9C0006"/>
                <w:sz w:val="16"/>
              </w:rPr>
              <w:t>NÃO CONFORME</w:t>
            </w:r>
          </w:p>
        </w:tc>
        <w:tc>
          <w:tcPr>
            <w:tcW w:type="dxa" w:w="851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851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1,25</w:t>
            </w:r>
          </w:p>
        </w:tc>
        <w:tc>
          <w:tcPr>
            <w:tcW w:type="dxa" w:w="851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≥ 1,00 pl/mm</w:t>
            </w:r>
          </w:p>
        </w:tc>
        <w:tc>
          <w:tcPr>
            <w:tcW w:type="dxa" w:w="851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6100"/>
                <w:sz w:val="16"/>
              </w:rPr>
              <w:t>CONFORME</w:t>
            </w:r>
          </w:p>
        </w:tc>
      </w:tr>
      <w:tr>
        <w:tc>
          <w:tcPr>
            <w:tcW w:type="dxa" w:w="851"/>
            <w:shd w:fill="F9FAFB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Fixo: Modo 2</w:t>
            </w:r>
          </w:p>
        </w:tc>
        <w:tc>
          <w:tcPr>
            <w:tcW w:type="dxa" w:w="851"/>
            <w:shd w:fill="F9FAFB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74,3</w:t>
            </w:r>
          </w:p>
        </w:tc>
        <w:tc>
          <w:tcPr>
            <w:tcW w:type="dxa" w:w="851"/>
            <w:shd w:fill="F9FAFB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14,3</w:t>
            </w:r>
          </w:p>
        </w:tc>
        <w:tc>
          <w:tcPr>
            <w:tcW w:type="dxa" w:w="851"/>
            <w:shd w:fill="F9FAFB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851"/>
            <w:shd w:fill="F9FAFB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3,9%</w:t>
            </w:r>
          </w:p>
        </w:tc>
        <w:tc>
          <w:tcPr>
            <w:tcW w:type="dxa" w:w="851"/>
            <w:shd w:fill="F9FAFB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≤ 3,0%</w:t>
            </w:r>
          </w:p>
        </w:tc>
        <w:tc>
          <w:tcPr>
            <w:tcW w:type="dxa" w:w="851"/>
            <w:shd w:fill="F9FAFB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9C0006"/>
                <w:sz w:val="16"/>
              </w:rPr>
              <w:t>NÃO CONFORME</w:t>
            </w:r>
          </w:p>
        </w:tc>
        <w:tc>
          <w:tcPr>
            <w:tcW w:type="dxa" w:w="851"/>
            <w:shd w:fill="F9FAFB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851"/>
            <w:shd w:fill="F9FAFB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1,25</w:t>
            </w:r>
          </w:p>
        </w:tc>
        <w:tc>
          <w:tcPr>
            <w:tcW w:type="dxa" w:w="851"/>
            <w:shd w:fill="F9FAFB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≥ 1,00 pl/mm</w:t>
            </w:r>
          </w:p>
        </w:tc>
        <w:tc>
          <w:tcPr>
            <w:tcW w:type="dxa" w:w="851"/>
            <w:shd w:fill="F9FAFB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6100"/>
                <w:sz w:val="16"/>
              </w:rPr>
              <w:t>CONFORME</w:t>
            </w:r>
          </w:p>
        </w:tc>
      </w:tr>
      <w:tr>
        <w:tc>
          <w:tcPr>
            <w:tcW w:type="dxa" w:w="851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Fixo: Modo 3</w:t>
            </w:r>
          </w:p>
        </w:tc>
        <w:tc>
          <w:tcPr>
            <w:tcW w:type="dxa" w:w="851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75,8</w:t>
            </w:r>
          </w:p>
        </w:tc>
        <w:tc>
          <w:tcPr>
            <w:tcW w:type="dxa" w:w="851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20,2</w:t>
            </w:r>
          </w:p>
        </w:tc>
        <w:tc>
          <w:tcPr>
            <w:tcW w:type="dxa" w:w="851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type="dxa" w:w="851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3,2%</w:t>
            </w:r>
          </w:p>
        </w:tc>
        <w:tc>
          <w:tcPr>
            <w:tcW w:type="dxa" w:w="851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≤ 3,0%</w:t>
            </w:r>
          </w:p>
        </w:tc>
        <w:tc>
          <w:tcPr>
            <w:tcW w:type="dxa" w:w="851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9C0006"/>
                <w:sz w:val="16"/>
              </w:rPr>
              <w:t>NÃO CONFORME</w:t>
            </w:r>
          </w:p>
        </w:tc>
        <w:tc>
          <w:tcPr>
            <w:tcW w:type="dxa" w:w="851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851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1,00</w:t>
            </w:r>
          </w:p>
        </w:tc>
        <w:tc>
          <w:tcPr>
            <w:tcW w:type="dxa" w:w="851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sz w:val="16"/>
              </w:rPr>
              <w:t>≥ 1,00 pl/mm</w:t>
            </w:r>
          </w:p>
        </w:tc>
        <w:tc>
          <w:tcPr>
            <w:tcW w:type="dxa" w:w="851"/>
            <w:shd w:fill="FFFFFF"/>
            <w:tcMar>
              <w:top w:w="60" w:type="dxa"/>
              <w:bottom w:w="60" w:type="dxa"/>
              <w:left w:w="40" w:type="dxa"/>
              <w:right w:w="40" w:type="dxa"/>
            </w:tcMar>
          </w:tcPr>
          <w:p>
            <w:pPr>
              <w:jc w:val="center"/>
            </w:pPr>
            <w:r>
              <w:rPr>
                <w:b/>
                <w:color w:val="006100"/>
                <w:sz w:val="16"/>
              </w:rPr>
              <w:t>CONFORME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333333"/>
          <w:sz w:val="22"/>
        </w:rPr>
        <w:t>4.1. Análise Física dos Fenômenos</w:t>
      </w:r>
    </w:p>
    <w:p>
      <w:pPr>
        <w:pStyle w:val="ListBullet"/>
        <w:spacing w:after="80" w:line="276" w:lineRule="auto"/>
      </w:pPr>
      <w:r>
        <w:rPr>
          <w:b/>
        </w:rPr>
        <w:t xml:space="preserve">Magnificação Eletrônica (Zoom): </w:t>
      </w:r>
      <w:r>
        <w:t>A redução do campo de visão (FOV) diminui a área geométrica de incidência de fótons no receptor digital (Flat Panel). Para manter a relação sinal-ruído constante por pixel, a malha de retroalimentação do AEC eleva a corrente de 10,9 mA para 17,5 mA. Essa maior densidade de amostragem resulta no salto de resolução espacial de 1,00 para 2,24 pl/mm no Zoom 3, duplicando a visualização de detalhes finos à custa do aumento da dose de radiação no paciente.</w:t>
      </w:r>
    </w:p>
    <w:p>
      <w:pPr>
        <w:pStyle w:val="ListBullet"/>
        <w:spacing w:after="80" w:line="276" w:lineRule="auto"/>
      </w:pPr>
      <w:r>
        <w:rPr>
          <w:b/>
        </w:rPr>
        <w:t xml:space="preserve">Degradação de Baixo Contraste em Altos kV: </w:t>
      </w:r>
      <w:r>
        <w:t>A elevação de tensão de 73,3 para 75,8 kV aumenta a energia média do feixe, deslocando a predominância de interações do Efeito Fotoelétrico para o Efeito Compton. A maior geração de radiação espalhada reduz o contraste primário da imagem, elevando o limiar de contraste para 3,9% e gerando não conformidade com a exigência normativa de ≤ 3,0% a partir do Zoom 2.</w:t>
      </w:r>
    </w:p>
    <w:p>
      <w:pPr>
        <w:pStyle w:val="ListBullet"/>
        <w:spacing w:after="80" w:line="276" w:lineRule="auto"/>
      </w:pPr>
      <w:r>
        <w:rPr>
          <w:b/>
        </w:rPr>
        <w:t xml:space="preserve">Modos de Qualidade a Campo Fixo: </w:t>
      </w:r>
      <w:r>
        <w:t>No Modo 3, o aumento de corrente para 20,2 mA reduz o ruído quântico e recupera parcialmente o baixo contraste (3,2%). Contudo, a alta carga térmica comuta o tubo para o foco óptico maior, aumentando a penumbra geométrica e reduzindo a resolução espacial de volta a 1,00 pl/mm.</w:t>
      </w:r>
    </w:p>
    <w:p>
      <w:pPr>
        <w:keepNext/>
        <w:spacing w:before="280" w:after="80"/>
      </w:pPr>
      <w:r>
        <w:rPr>
          <w:b/>
          <w:color w:val="2E5B88"/>
          <w:sz w:val="24"/>
        </w:rPr>
        <w:t>5. Conclusão do Dia 4</w:t>
      </w:r>
    </w:p>
    <w:p>
      <w:r>
        <w:t>O ensaio evidenciou o compromisso físico entre resolução espacial, contraste e dose. A não conformidade no teste de baixo contraste em campos magnificados indica a necessidade de intervenção da engenharia clínica para calibração das curvas de ganho e filtração espectral do sistema de AEC.</w:t>
      </w:r>
    </w:p>
    <w:p>
      <w:pPr>
        <w:keepNext/>
        <w:spacing w:before="280" w:after="80"/>
      </w:pPr>
      <w:r>
        <w:rPr>
          <w:b/>
          <w:color w:val="1B365D"/>
          <w:sz w:val="28"/>
        </w:rPr>
        <w:t>26/08/2026 (DIA 5) — Resposta Não Linear do AEC em Angiografia frente ao PMMA</w:t>
      </w:r>
    </w:p>
    <w:p>
      <w:pPr>
        <w:keepNext/>
        <w:spacing w:before="280" w:after="80"/>
      </w:pPr>
      <w:r>
        <w:rPr>
          <w:b/>
          <w:color w:val="2E5B88"/>
          <w:sz w:val="24"/>
        </w:rPr>
        <w:t>1. Introdução</w:t>
      </w:r>
    </w:p>
    <w:p>
      <w:r>
        <w:t>Em intervenções radiológicas de alta complexidade (como os procedimentos de drenagem e dilatação biliar), variações anatômicas extremas e a presença de pacientes com obesidade exigem respostas robustas do sistema de Controle Automático de Exposição (AEC). O conhecimento da resposta não linear da malha do AEC é crucial para que o físico médico previna a ocorrência de reações teciduais cutâneas determinísticas (radiodermites e necroses).</w:t>
      </w:r>
    </w:p>
    <w:p>
      <w:pPr>
        <w:keepNext/>
        <w:spacing w:before="280" w:after="80"/>
      </w:pPr>
      <w:r>
        <w:rPr>
          <w:b/>
          <w:color w:val="2E5B88"/>
          <w:sz w:val="24"/>
        </w:rPr>
        <w:t>2. Objetivo</w:t>
      </w:r>
    </w:p>
    <w:p>
      <w:r>
        <w:t>Caracterizar a resposta multifatorial do AEC (tensão, corrente, largura de pulso e filtração adicional de cobre) e quantificar a taxa de kerma no ar na superfície de entrada em função da espessura de simuladores de polimetilmetacrilato (PMMA), sob protocolo clínico de vias biliares.</w:t>
      </w:r>
    </w:p>
    <w:p>
      <w:pPr>
        <w:keepNext/>
        <w:spacing w:before="280" w:after="80"/>
      </w:pPr>
      <w:r>
        <w:rPr>
          <w:b/>
          <w:color w:val="2E5B88"/>
          <w:sz w:val="24"/>
        </w:rPr>
        <w:t>3. Metodologia</w:t>
      </w:r>
    </w:p>
    <w:p>
      <w:r>
        <w:t>O ensaio foi realizado em angiógrafo intervencionista digital configurado para o protocolo 'Vias Biliares'. Fixaram-se: Distância Foco-Receptor (DFR) = 100 cm, mesa a -15 cm do isocentro, FOV = 40 cm e taxa de 15 fps. Utilizaram-se blocos de PMMA com espessuras de 16 cm, 19 cm, 25 cm e 31 cm. Foram registradas as variáveis técnicas selecionadas pelo AEC e a taxa de kerma no ar incidente (mGy/min), com base nas diretrizes do IAEA TECDOC 1958.</w:t>
      </w:r>
    </w:p>
    <w:p>
      <w:pPr>
        <w:keepNext/>
        <w:spacing w:before="280" w:after="80"/>
      </w:pPr>
      <w:r>
        <w:rPr>
          <w:b/>
          <w:color w:val="2E5B88"/>
          <w:sz w:val="24"/>
        </w:rPr>
        <w:t>4. Resultados e Discussão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0C0C0"/>
          <w:bottom w:val="single" w:sz="4" w:space="0" w:color="C0C0C0"/>
          <w:insideH w:val="single" w:sz="4" w:space="0" w:color="C0C0C0"/>
          <w:left w:val="none"/>
          <w:right w:val="none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Espessura PMMA (cm)</w:t>
            </w:r>
          </w:p>
        </w:tc>
        <w:tc>
          <w:tcPr>
            <w:tcW w:type="dxa" w:w="1337"/>
            <w:shd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Tensão (kV)</w:t>
            </w:r>
          </w:p>
        </w:tc>
        <w:tc>
          <w:tcPr>
            <w:tcW w:type="dxa" w:w="1337"/>
            <w:shd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Corrente (mA)</w:t>
            </w:r>
          </w:p>
        </w:tc>
        <w:tc>
          <w:tcPr>
            <w:tcW w:type="dxa" w:w="1337"/>
            <w:shd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Tempo Pulso (ms)</w:t>
            </w:r>
          </w:p>
        </w:tc>
        <w:tc>
          <w:tcPr>
            <w:tcW w:type="dxa" w:w="1337"/>
            <w:shd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Filtro Adicional (mm Cu)</w:t>
            </w:r>
          </w:p>
        </w:tc>
        <w:tc>
          <w:tcPr>
            <w:tcW w:type="dxa" w:w="1337"/>
            <w:shd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Taxa de Kerma (mGy/min)</w:t>
            </w:r>
          </w:p>
        </w:tc>
        <w:tc>
          <w:tcPr>
            <w:tcW w:type="dxa" w:w="1337"/>
            <w:shd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Razão de Incremento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69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4,5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0,3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7,1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1,0× (Referência)</w:t>
            </w:r>
          </w:p>
        </w:tc>
      </w:tr>
      <w:tr>
        <w:tc>
          <w:tcPr>
            <w:tcW w:type="dxa" w:w="1337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72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7,7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0,3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14,5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2,04×</w:t>
            </w:r>
          </w:p>
        </w:tc>
      </w:tr>
      <w:tr>
        <w:tc>
          <w:tcPr>
            <w:tcW w:type="dxa" w:w="1337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25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5,6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0,1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42,9</w:t>
            </w:r>
          </w:p>
        </w:tc>
        <w:tc>
          <w:tcPr>
            <w:tcW w:type="dxa" w:w="1337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6,04×</w:t>
            </w:r>
          </w:p>
        </w:tc>
      </w:tr>
      <w:tr>
        <w:tc>
          <w:tcPr>
            <w:tcW w:type="dxa" w:w="1337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31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120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4,9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0,3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45,0</w:t>
            </w:r>
          </w:p>
        </w:tc>
        <w:tc>
          <w:tcPr>
            <w:tcW w:type="dxa" w:w="1337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6,34×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333333"/>
          <w:sz w:val="22"/>
        </w:rPr>
        <w:t>4.1. Análise Física da Resposta Multifatorial do Algoritmo</w:t>
      </w:r>
    </w:p>
    <w:p>
      <w:pPr>
        <w:pStyle w:val="ListBullet"/>
        <w:spacing w:after="80" w:line="276" w:lineRule="auto"/>
      </w:pPr>
      <w:r>
        <w:rPr>
          <w:b/>
        </w:rPr>
        <w:t xml:space="preserve">Transição de 16 para 19 cm de PMMA: </w:t>
      </w:r>
      <w:r>
        <w:t>Modulação primária clássica com aumento de corrente (4,5 para 7,7 mA) e leve elevação de tensão (69 para 72 kV), mantendo o filtro de 0,3 mm Cu e o pulso de 7 ms. A taxa de kerma dobra de 7,1 para 14,5 mGy/min.</w:t>
      </w:r>
    </w:p>
    <w:p>
      <w:pPr>
        <w:pStyle w:val="ListBullet"/>
        <w:spacing w:after="80" w:line="276" w:lineRule="auto"/>
      </w:pPr>
      <w:r>
        <w:rPr>
          <w:b/>
        </w:rPr>
        <w:t xml:space="preserve">Transição de 19 para 25 cm de PMMA: </w:t>
      </w:r>
      <w:r>
        <w:t>Diante da forte atenuação, o AEC eleva abruptamente a tensão para 92 kV para garantir penetração e reduz a filtração de 0,3 para 0,1 mm Cu. A redução do filtro visa maximizar a fluência de fótons no detector sob limitação térmica de corrente (5,6 mA), mas resulta em severa penalização na dose da pele do paciente, com a taxa de kerma saltando para 42,9 mGy/min (aumento de 6 vezes).</w:t>
      </w:r>
    </w:p>
    <w:p>
      <w:pPr>
        <w:pStyle w:val="ListBullet"/>
        <w:spacing w:after="80" w:line="276" w:lineRule="auto"/>
      </w:pPr>
      <w:r>
        <w:rPr>
          <w:b/>
        </w:rPr>
        <w:t xml:space="preserve">Transição de 25 para 31 cm de PMMA: </w:t>
      </w:r>
      <w:r>
        <w:t>O equipamento atinge seu teto operacional de tensão (120 kV). Impossibilitado de elevar o kV e restringindo a corrente a 4,9 mA, o AEC atua na variável temporal, expandindo a largura de pulso de 7 ms para 12 ms, e reinsere o filtro de 0,3 mm Cu para absorver fótons de baixa energia que seriam inteiramente absorvidos na pele. A taxa de kerma atinge um platô de saturação em 45,0 mGy/min.</w:t>
      </w:r>
    </w:p>
    <w:p>
      <w:pPr>
        <w:keepNext/>
        <w:spacing w:before="280" w:after="80"/>
      </w:pPr>
      <w:r>
        <w:rPr>
          <w:b/>
          <w:color w:val="333333"/>
          <w:sz w:val="22"/>
        </w:rPr>
        <w:t>4.2. Implicações Clínicas e Avaliação de Efeitos Determinísticos</w:t>
      </w:r>
    </w:p>
    <w:p>
      <w:r>
        <w:t>Em intervenções prolongadas em pacientes obesos (31 cm PMMA), uma taxa de kerma de 45,0 mGy/min exige rígido monitoramento do tempo de exposição pela equipe médica: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0C0C0"/>
          <w:bottom w:val="single" w:sz="4" w:space="0" w:color="C0C0C0"/>
          <w:insideH w:val="single" w:sz="4" w:space="0" w:color="C0C0C0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Efeito Tecidual Cutâneo</w:t>
            </w:r>
          </w:p>
        </w:tc>
        <w:tc>
          <w:tcPr>
            <w:tcW w:type="dxa" w:w="2340"/>
            <w:shd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Dose Limiar na Pele (Gy)</w:t>
            </w:r>
          </w:p>
        </w:tc>
        <w:tc>
          <w:tcPr>
            <w:tcW w:type="dxa" w:w="2340"/>
            <w:shd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Tempo de Fluoroscopia Contínua</w:t>
            </w:r>
          </w:p>
        </w:tc>
        <w:tc>
          <w:tcPr>
            <w:tcW w:type="dxa" w:w="2340"/>
            <w:shd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Conduta Clínica Recomendada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8"/>
              </w:rPr>
              <w:t>Eritema Precoce Transitório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2,0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44,4 minutos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8"/>
              </w:rPr>
              <w:t>Registro em prontuário; acompanhamento ambulatorial</w:t>
            </w:r>
          </w:p>
        </w:tc>
      </w:tr>
      <w:tr>
        <w:tc>
          <w:tcPr>
            <w:tcW w:type="dxa" w:w="234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8"/>
              </w:rPr>
              <w:t>Epilação Temporária</w:t>
            </w:r>
          </w:p>
        </w:tc>
        <w:tc>
          <w:tcPr>
            <w:tcW w:type="dxa" w:w="234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3,0</w:t>
            </w:r>
          </w:p>
        </w:tc>
        <w:tc>
          <w:tcPr>
            <w:tcW w:type="dxa" w:w="234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66,7 minutos</w:t>
            </w:r>
          </w:p>
        </w:tc>
        <w:tc>
          <w:tcPr>
            <w:tcW w:type="dxa" w:w="234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8"/>
              </w:rPr>
              <w:t>Orientação ao paciente sobre perda reversível de pelos</w:t>
            </w:r>
          </w:p>
        </w:tc>
      </w:tr>
      <w:tr>
        <w:tc>
          <w:tcPr>
            <w:tcW w:type="dxa" w:w="23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8"/>
              </w:rPr>
              <w:t>Eritema Principal / Epilação Definitiva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5,0 a 7,0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111 a 155 minutos</w:t>
            </w:r>
          </w:p>
        </w:tc>
        <w:tc>
          <w:tcPr>
            <w:tcW w:type="dxa" w:w="234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8"/>
              </w:rPr>
              <w:t>Risco de radiodermite; acompanhamento dermatológico</w:t>
            </w:r>
          </w:p>
        </w:tc>
      </w:tr>
      <w:tr>
        <w:tc>
          <w:tcPr>
            <w:tcW w:type="dxa" w:w="234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8"/>
              </w:rPr>
              <w:t>Ulceração Tardia / Necrose Cutânea</w:t>
            </w:r>
          </w:p>
        </w:tc>
        <w:tc>
          <w:tcPr>
            <w:tcW w:type="dxa" w:w="234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≥ 12,0</w:t>
            </w:r>
          </w:p>
        </w:tc>
        <w:tc>
          <w:tcPr>
            <w:tcW w:type="dxa" w:w="234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sz w:val="18"/>
              </w:rPr>
              <w:t>266 minutos</w:t>
            </w:r>
          </w:p>
        </w:tc>
        <w:tc>
          <w:tcPr>
            <w:tcW w:type="dxa" w:w="234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8"/>
              </w:rPr>
              <w:t>Lesão radioinduzida grave; exige reparação cirúrgica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b/>
          <w:color w:val="2E5B88"/>
          <w:sz w:val="24"/>
        </w:rPr>
        <w:t>5. Conclusão do Dia 5</w:t>
      </w:r>
    </w:p>
    <w:p>
      <w:r>
        <w:t>O comportamento do AEC em espessuras anatômicas elevadas demonstra que o sistema satura seus parâmetros de tensão e corrente, recorrendo ao aumento da largura do pulso para manter a formação da imagem. O Físico Médico deve atuar junto à equipe intervencionista monitorando ativamente o produto dose-área (KAP) e a dose no ponto de entrada da pele para evitar que intervenções complexas superem os limiares de danos teciduais permanentes.</w:t>
      </w:r>
    </w:p>
    <w:p>
      <w:pPr>
        <w:keepNext/>
        <w:spacing w:before="280" w:after="80"/>
      </w:pPr>
      <w:r>
        <w:rPr>
          <w:b/>
          <w:color w:val="1B365D"/>
          <w:sz w:val="28"/>
        </w:rPr>
        <w:t>BIBLIOGRAFIA CONSOLIDADA (PADRÃO ABNT)</w:t>
      </w:r>
    </w:p>
    <w:p>
      <w:pPr>
        <w:pStyle w:val="ListBullet"/>
        <w:spacing w:after="80" w:line="276" w:lineRule="auto"/>
      </w:pPr>
      <w:r>
        <w:t>AGÊNCIA NACIONAL DE VIGILÂNCIA SANITÁRIA (ANVISA). Resolução da Diretoria Colegiada - RDC nº 611, de 9 de março de 2022. Estabelece os requisitos sanitários para a organização e o funcionamento de serviços de radiologia diagnóstica ou intervencionista. Brasília: Diário Oficial da União, 2022.</w:t>
      </w:r>
    </w:p>
    <w:p>
      <w:pPr>
        <w:pStyle w:val="ListBullet"/>
        <w:spacing w:after="80" w:line="276" w:lineRule="auto"/>
      </w:pPr>
      <w:r>
        <w:t>AGÊNCIA NACIONAL DE VIGILÂNCIA SANITÁRIA (ANVISA). Instrução Normativa - IN nº 91, de 27 de maio de 2021. Estabelece os requisitos específicos para garantia da qualidade e da segurança de sistemas de fluoroscopia e radiologia intervencionista. Brasília: Diário Oficial da União, 2021.</w:t>
      </w:r>
    </w:p>
    <w:p>
      <w:pPr>
        <w:pStyle w:val="ListBullet"/>
        <w:spacing w:after="80" w:line="276" w:lineRule="auto"/>
      </w:pPr>
      <w:r>
        <w:t>AMERICAN INSTITUTE OF ULTRASOUND IN MEDICINE (AIUM). Quality Assurance Manual for Gray-Scale and Doppler Ultrasound Scanners. Laurel, MD: AIUM Publications, 1995.</w:t>
      </w:r>
    </w:p>
    <w:p>
      <w:pPr>
        <w:pStyle w:val="ListBullet"/>
        <w:spacing w:after="80" w:line="276" w:lineRule="auto"/>
      </w:pPr>
      <w:r>
        <w:t>BUSHBERG, J. T. et al. The Essential Physics of Medical Imaging. 4. ed. Philadelphia: Wolters Kluwer Health / Lippincott Williams &amp; Wilkins, 2020.</w:t>
      </w:r>
    </w:p>
    <w:p>
      <w:pPr>
        <w:pStyle w:val="ListBullet"/>
        <w:spacing w:after="80" w:line="276" w:lineRule="auto"/>
      </w:pPr>
      <w:r>
        <w:t>INTERNATIONAL ATOMIC ENERGY AGENCY (IAEA). Quality Assurance Programme for Computed Tomography: Diagnostic and Interventional Applications. IAEA Human Health Series No. 19. Vienna: IAEA, 2012.</w:t>
      </w:r>
    </w:p>
    <w:p>
      <w:pPr>
        <w:pStyle w:val="ListBullet"/>
        <w:spacing w:after="80" w:line="276" w:lineRule="auto"/>
      </w:pPr>
      <w:r>
        <w:t>INTERNATIONAL ATOMIC ENERGY AGENCY (IAEA). Protocolos de Control de Calidad para Radiodiagnóstico en América Latina y el Caribe. IAEA TECDOC 1958. Viena: IAEA, 2021.</w:t>
      </w:r>
    </w:p>
    <w:p>
      <w:pPr>
        <w:pStyle w:val="ListBullet"/>
        <w:spacing w:after="80" w:line="276" w:lineRule="auto"/>
      </w:pPr>
      <w:r>
        <w:t>INTERNATIONAL COMMISSION ON RADIOLOGICAL PROTECTION (ICRP). ICRP Publication 118: Statement on Tissue Reactions / Early and Late Effects of Radiation in Normal Tissues and Organs. Annals of the ICRP, v. 41, n. 1-2, 2012.</w:t>
      </w:r>
    </w:p>
    <w:p>
      <w:pPr>
        <w:pStyle w:val="ListBullet"/>
        <w:spacing w:after="80" w:line="276" w:lineRule="auto"/>
      </w:pPr>
      <w:r>
        <w:t>PAPILLON, P. et al. Fluoroscopy Automatic Exposure Control: A review of concepts and practical evaluation. Journal of Applied Clinical Medical Physics, v. 23, n. 12, e13795, 2022.</w:t>
      </w:r>
    </w:p>
    <w:p>
      <w:pPr>
        <w:pStyle w:val="ListBullet"/>
        <w:spacing w:after="80" w:line="276" w:lineRule="auto"/>
      </w:pPr>
      <w:r>
        <w:t>SOCIEDAD ESPAÑOLA DE FÍSICA MÉDICA (SEFM); SEPR; SERAM. Protocolo Español de Control de Calidad en Radiodiagnóstico: Aspectos Técnicos. Madrid: SEFM, 2024.</w:t>
      </w:r>
    </w:p>
    <w:p>
      <w:pPr>
        <w:pStyle w:val="ListBullet"/>
        <w:spacing w:after="80" w:line="276" w:lineRule="auto"/>
      </w:pPr>
      <w:r>
        <w:t>SUN NUCLEAR CORPORATION. Doppler 403 Flow Phantom User Guide (Model 1425B). Norfolk, VA: Sun Nuclear Corp, 2023.</w:t>
      </w:r>
    </w:p>
    <w:p>
      <w:pPr>
        <w:keepNext/>
        <w:spacing w:before="280" w:after="80"/>
      </w:pPr>
      <w:r>
        <w:rPr>
          <w:b/>
          <w:color w:val="1B365D"/>
          <w:sz w:val="28"/>
        </w:rPr>
        <w:t>CHECK-UP FINAL PARA ENTREGA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0C0C0"/>
          <w:bottom w:val="single" w:sz="4" w:space="0" w:color="C0C0C0"/>
          <w:insideH w:val="single" w:sz="4" w:space="0" w:color="C0C0C0"/>
          <w:left w:val="none"/>
          <w:right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Item Auditado</w:t>
            </w:r>
          </w:p>
        </w:tc>
        <w:tc>
          <w:tcPr>
            <w:tcW w:type="dxa" w:w="3120"/>
            <w:shd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3120"/>
            <w:shd w:fill="1B365D"/>
            <w:tcMar>
              <w:top w:w="100" w:type="dxa"/>
              <w:bottom w:w="10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Parecer Técnico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8"/>
              </w:rPr>
              <w:t>Padronização e Semiótica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006100"/>
                <w:sz w:val="18"/>
              </w:rPr>
              <w:t>CONFORME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8"/>
              </w:rPr>
              <w:t>Texto estruturado sem códigos de compilação LaTeX, formatado em conformidade com as normas ABNT e processadores de texto.</w:t>
            </w:r>
          </w:p>
        </w:tc>
      </w:tr>
      <w:tr>
        <w:tc>
          <w:tcPr>
            <w:tcW w:type="dxa" w:w="312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8"/>
              </w:rPr>
              <w:t>Resolução Axial vs. Separações</w:t>
            </w:r>
          </w:p>
        </w:tc>
        <w:tc>
          <w:tcPr>
            <w:tcW w:type="dxa" w:w="312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006100"/>
                <w:sz w:val="18"/>
              </w:rPr>
              <w:t>CONFORME</w:t>
            </w:r>
          </w:p>
        </w:tc>
        <w:tc>
          <w:tcPr>
            <w:tcW w:type="dxa" w:w="312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8"/>
              </w:rPr>
              <w:t>Separações expressas estritamente nos valores nominais do phantom (2,0; 1,0; 0,5; 0,25 mm) e FWHM correlacionado com o número de ciclos do pulso (SPL = n × λ).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8"/>
              </w:rPr>
              <w:t>Inversão de Dados do Transdutor Convexo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006100"/>
                <w:sz w:val="18"/>
              </w:rPr>
              <w:t>CONFORME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8"/>
              </w:rPr>
              <w:t>Anomalia devidamente documentada como erro de rotulagem na coleta original e respaldada pela curva física corrigida.</w:t>
            </w:r>
          </w:p>
        </w:tc>
      </w:tr>
      <w:tr>
        <w:tc>
          <w:tcPr>
            <w:tcW w:type="dxa" w:w="312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8"/>
              </w:rPr>
              <w:t>Conformidade Normativa IN-91 (TOR)</w:t>
            </w:r>
          </w:p>
        </w:tc>
        <w:tc>
          <w:tcPr>
            <w:tcW w:type="dxa" w:w="312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006100"/>
                <w:sz w:val="18"/>
              </w:rPr>
              <w:t>CONFORME</w:t>
            </w:r>
          </w:p>
        </w:tc>
        <w:tc>
          <w:tcPr>
            <w:tcW w:type="dxa" w:w="3120"/>
            <w:shd w:fill="F9FAFB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8"/>
              </w:rPr>
              <w:t>Limiares de resolução espacial e contraste auditados contra os limites de aceitação da ANVISA.</w:t>
            </w:r>
          </w:p>
        </w:tc>
      </w:tr>
      <w:tr>
        <w:tc>
          <w:tcPr>
            <w:tcW w:type="dxa" w:w="31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8"/>
              </w:rPr>
              <w:t>Caracterização do AEC em PMMA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center"/>
            </w:pPr>
            <w:r>
              <w:rPr>
                <w:b/>
                <w:color w:val="006100"/>
                <w:sz w:val="18"/>
              </w:rPr>
              <w:t>CONFORME</w:t>
            </w:r>
          </w:p>
        </w:tc>
        <w:tc>
          <w:tcPr>
            <w:tcW w:type="dxa" w:w="3120"/>
            <w:shd w:fill="FFFFFF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jc w:val="left"/>
            </w:pPr>
            <w:r>
              <w:rPr>
                <w:sz w:val="18"/>
              </w:rPr>
              <w:t>Análise completa da resposta de kV, mA, tempo de pulso e filtração de Cu, com tabela de correlação de risco determinístico cutâneo.</w:t>
            </w:r>
          </w:p>
        </w:tc>
      </w:tr>
    </w:tbl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