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68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Manual de Identidade Visual — documento de referência para o Projeto Integrador</w:t>
      </w:r>
    </w:p>
    <w:p>
      <w:pPr>
        <w:jc w:val="center"/>
      </w:pPr>
      <w:r>
        <w:rPr>
          <w:b/>
          <w:color w:val="2F414B"/>
          <w:sz w:val="52"/>
        </w:rPr>
        <w:t>ALIVIUM</w:t>
      </w:r>
    </w:p>
    <w:p>
      <w:pPr>
        <w:jc w:val="center"/>
      </w:pPr>
      <w:r>
        <w:rPr>
          <w:b/>
          <w:color w:val="22847C"/>
          <w:sz w:val="30"/>
        </w:rPr>
        <w:t>MANUAL DE IDENTIDADE VISUAL (MIV)</w:t>
      </w:r>
    </w:p>
    <w:p>
      <w:pPr>
        <w:jc w:val="center"/>
      </w:pPr>
      <w:r>
        <w:rPr>
          <w:color w:val="646464"/>
          <w:sz w:val="20"/>
        </w:rPr>
        <w:t>Versão 1.0 • 2026</w:t>
      </w:r>
    </w:p>
    <w:p>
      <w:r>
        <w:br w:type="page"/>
      </w:r>
    </w:p>
    <w:p>
      <w:pPr>
        <w:pStyle w:val="Heading1"/>
      </w:pPr>
      <w:r>
        <w:t>1. Apresentação da marca</w:t>
      </w:r>
    </w:p>
    <w:p>
      <w:pPr/>
      <w:r>
        <w:t>A ALIVIUM é a identidade visual desenvolvida para o Projeto Integrador, com foco em transmitir acolhimento, equilíbrio, cuidado e bem-estar. A marca combina um símbolo orgânico e humano com uma tipografia de presença institucional, criando uma linguagem visual adequada para uma solução digital voltada à área de saúde e qualidade de vida.</w:t>
      </w:r>
    </w:p>
    <w:p>
      <w:pPr/>
      <w:r>
        <w:t>Inspiração e conceito: o símbolo apresenta uma composição que visualmente aproxima elementos associados à mente/psique, à presença humana e ao crescimento orgânico. As formas naturais e a paleta verde/azulada reforçam uma percepção de tranquilidade, equilíbrio e renovação, enquanto o detalhe em laranja funciona como ponto de energia e atenção.</w:t>
      </w:r>
    </w:p>
    <w:p>
      <w:pPr/>
      <w:r>
        <w:t>Valores comunicados: acolhimento • equilíbrio • confiança • cuidado • tecnologia com propósito • bem-estar.</w:t>
      </w:r>
    </w:p>
    <w:p>
      <w:pPr>
        <w:pStyle w:val="Heading1"/>
      </w:pPr>
      <w:r>
        <w:t>2. Personalidade da marca</w:t>
      </w:r>
    </w:p>
    <w:p>
      <w:pPr/>
      <w:r>
        <w:t>A ALIVIUM deve se comunicar de maneira humana, clara e acolhedora, evitando tanto uma linguagem excessivamente clínica quanto uma comunicação informal demais. A identidade combina tecnologia e sensibilidade para aproximar o usuário da proposta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504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Diretriz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color w:val="2F414B"/>
                <w:sz w:val="19"/>
              </w:rPr>
              <w:t>Tom de voz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color w:val="2F414B"/>
                <w:sz w:val="19"/>
              </w:rPr>
              <w:t>Acolhedor, claro, positivo, respeitoso e orientativo.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color w:val="2F414B"/>
                <w:sz w:val="19"/>
              </w:rPr>
              <w:t>Estilo visual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color w:val="2F414B"/>
                <w:sz w:val="19"/>
              </w:rPr>
              <w:t>Moderno, orgânico, limpo e institucional.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color w:val="2F414B"/>
                <w:sz w:val="19"/>
              </w:rPr>
              <w:t>Vocabulário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color w:val="2F414B"/>
                <w:sz w:val="19"/>
              </w:rPr>
              <w:t>Simples, acessível e centrado em bem-estar e cuidado.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/>
                <w:color w:val="2F414B"/>
                <w:sz w:val="19"/>
              </w:rPr>
              <w:t>Evitar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color w:val="2F414B"/>
                <w:sz w:val="19"/>
              </w:rPr>
              <w:t>Alarmismo, excesso de termos técnicos, promessas absolutas e comunicação agressiva.</w:t>
            </w:r>
          </w:p>
        </w:tc>
      </w:tr>
    </w:tbl>
    <w:p>
      <w:pPr>
        <w:pStyle w:val="Heading1"/>
      </w:pPr>
      <w:r>
        <w:t>3. Elementos gráficos</w:t>
      </w:r>
    </w:p>
    <w:p>
      <w:r>
        <w:drawing>
          <wp:inline xmlns:a="http://schemas.openxmlformats.org/drawingml/2006/main" xmlns:pic="http://schemas.openxmlformats.org/drawingml/2006/picture">
            <wp:extent cx="54864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Assinatura principal da ALIVIUM.</w:t>
      </w:r>
    </w:p>
    <w:p>
      <w:pPr/>
      <w:r>
        <w:t>Símbolo: elemento ilustrativo central, com formas orgânicas e referências visuais à mente, ao humano e à natureza. Deve ser preservado integralmente, sem redesenho ou distorção.</w:t>
      </w:r>
    </w:p>
    <w:p>
      <w:pPr/>
      <w:r>
        <w:t>Logotipo: a palavra ALIVIUM utiliza uma tipografia de alto peso visual, garantindo leitura e reconhecimento mesmo em aplicações digitais.</w:t>
      </w:r>
    </w:p>
    <w:p>
      <w:pPr/>
      <w:r>
        <w:t>Composição: símbolo + logotipo formam a assinatura principal. O conjunto deve ser tratado como uma unidade nas aplicações institucionais, salvo nas variações previstas neste manual.</w:t>
      </w:r>
    </w:p>
    <w:p>
      <w:pPr>
        <w:pStyle w:val="Heading1"/>
      </w:pPr>
      <w:r>
        <w:t>4. Aspectos técnicos</w:t>
      </w:r>
    </w:p>
    <w:p>
      <w:pPr>
        <w:pStyle w:val="Heading2"/>
      </w:pPr>
      <w:r>
        <w:t>4.1 Paleta cromática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Amostra</w:t>
            </w:r>
          </w:p>
        </w:tc>
        <w:tc>
          <w:tcPr>
            <w:tcW w:type="dxa" w:w="2016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016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RGB</w:t>
            </w:r>
          </w:p>
        </w:tc>
        <w:tc>
          <w:tcPr>
            <w:tcW w:type="dxa" w:w="2016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CMYK*</w:t>
            </w:r>
          </w:p>
        </w:tc>
        <w:tc>
          <w:tcPr>
            <w:tcW w:type="dxa" w:w="2016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Função sugerida</w:t>
            </w:r>
          </w:p>
        </w:tc>
      </w:tr>
      <w:tr>
        <w:tc>
          <w:tcPr>
            <w:tcW w:type="dxa" w:w="2016"/>
            <w:shd w:fill="2F414B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#2F414B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47, 65, 75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37 / 13 / 0 / 71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Primária / textos</w:t>
            </w:r>
          </w:p>
        </w:tc>
      </w:tr>
      <w:tr>
        <w:tc>
          <w:tcPr>
            <w:tcW w:type="dxa" w:w="2016"/>
            <w:shd w:fill="32424A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#32424A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50, 66, 74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32 / 11 / 0 / 71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Apoio / ilustração</w:t>
            </w:r>
          </w:p>
        </w:tc>
      </w:tr>
      <w:tr>
        <w:tc>
          <w:tcPr>
            <w:tcW w:type="dxa" w:w="2016"/>
            <w:shd w:fill="22847C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#22847C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34, 132, 124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74 / 0 / 6 / 48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Acento / símbolo</w:t>
            </w:r>
          </w:p>
        </w:tc>
      </w:tr>
      <w:tr>
        <w:tc>
          <w:tcPr>
            <w:tcW w:type="dxa" w:w="2016"/>
            <w:shd w:fill="66AA66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#66AA66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102, 170, 102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40 / 0 / 40 / 33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Acento / símbolo</w:t>
            </w:r>
          </w:p>
        </w:tc>
      </w:tr>
      <w:tr>
        <w:tc>
          <w:tcPr>
            <w:tcW w:type="dxa" w:w="2016"/>
            <w:shd w:fill="697F74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#697F74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105, 127, 116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17 / 0 / 9 / 50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Apoio / ilustração</w:t>
            </w:r>
          </w:p>
        </w:tc>
      </w:tr>
      <w:tr>
        <w:tc>
          <w:tcPr>
            <w:tcW w:type="dxa" w:w="2016"/>
            <w:shd w:fill="8B9B7D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#8B9B7D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139, 155, 125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10 / 0 / 19 / 39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Apoio / ilustração</w:t>
            </w:r>
          </w:p>
        </w:tc>
      </w:tr>
      <w:tr>
        <w:tc>
          <w:tcPr>
            <w:tcW w:type="dxa" w:w="2016"/>
            <w:shd w:fill="B5C3B1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#B5C3B1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181, 195, 177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7 / 0 / 9 / 24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Apoio / ilustração</w:t>
            </w:r>
          </w:p>
        </w:tc>
      </w:tr>
      <w:tr>
        <w:tc>
          <w:tcPr>
            <w:tcW w:type="dxa" w:w="2016"/>
            <w:shd w:fill="EDF2D9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#EDF2D9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237, 242, 217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2 / 0 / 10 / 5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Apoio / ilustração</w:t>
            </w:r>
          </w:p>
        </w:tc>
      </w:tr>
      <w:tr>
        <w:tc>
          <w:tcPr>
            <w:tcW w:type="dxa" w:w="2016"/>
            <w:shd w:fill="DC9648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#DC9648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220, 150, 72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0 / 32 / 67 / 14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Destaque</w:t>
            </w:r>
          </w:p>
        </w:tc>
      </w:tr>
      <w:tr>
        <w:tc>
          <w:tcPr>
            <w:tcW w:type="dxa" w:w="2016"/>
            <w:shd w:fill="4C5E60"/>
          </w:tcPr>
          <w:p/>
        </w:tc>
        <w:tc>
          <w:tcPr>
            <w:tcW w:type="dxa" w:w="2016"/>
          </w:tcPr>
          <w:p>
            <w:r/>
            <w:r>
              <w:rPr>
                <w:rFonts w:ascii="Aptos" w:hAnsi="Aptos"/>
                <w:b/>
                <w:color w:val="2F414B"/>
                <w:sz w:val="17"/>
              </w:rPr>
              <w:t>#4C5E60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76, 94, 96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21 / 2 / 0 / 62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color w:val="2F414B"/>
                <w:sz w:val="17"/>
              </w:rPr>
              <w:t>Apoio / ilustração</w:t>
            </w:r>
          </w:p>
        </w:tc>
      </w:tr>
    </w:tbl>
    <w:p>
      <w:pPr>
        <w:jc w:val="center"/>
      </w:pPr>
      <w:r>
        <w:rPr>
          <w:i/>
          <w:color w:val="646464"/>
          <w:sz w:val="17"/>
        </w:rPr>
        <w:t>*CMYK apresentado como conversão técnica aproximada a partir do RGB/HEX do arquivo vetorial. Para impressão profissional, recomenda-se prova de cor no perfil da gráfica.</w:t>
      </w:r>
    </w:p>
    <w:p>
      <w:pPr>
        <w:pStyle w:val="Heading2"/>
      </w:pPr>
      <w:r>
        <w:t>4.2 Área de proteção e redução</w:t>
      </w:r>
    </w:p>
    <w:p>
      <w:pPr/>
      <w:r>
        <w:t>Área de proteção: deve existir um espaço livre ao redor da assinatura equivalente, no mínimo, à altura da letra “A” do logotipo. Nenhum texto, imagem, borda ou elemento gráfico deve invadir essa área.</w:t>
      </w:r>
    </w:p>
    <w:p>
      <w:pPr/>
      <w:r>
        <w:t>Redução: para preservar a leitura do conjunto, recomenda-se manter a assinatura completa com largura mínima de 4 cm em materiais impressos. Em situações extremas, a redução até 1 cm deve ser reservada ao símbolo isolado, desde que a reprodução continue legível. Em telas, priorizar dimensões que mantenham os detalhes do símbolo reconhecíveis.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Representação da assinatura com espaço visual livre. A margem real deve acompanhar a escala da aplicação.</w:t>
      </w:r>
    </w:p>
    <w:p>
      <w:pPr>
        <w:pStyle w:val="Heading1"/>
      </w:pPr>
      <w:r>
        <w:t>5. Tipografia</w:t>
      </w:r>
    </w:p>
    <w:p>
      <w:pPr/>
      <w:r>
        <w:t>A tipografia definida no arquivo vetorial é Montserrat, utilizada com peso 800 no logotipo. A família apresenta formas geométricas, boa leitura e uma aparência contemporânea, coerente com o posicionamento visual da marca.</w:t>
      </w:r>
    </w:p>
    <w:p>
      <w:pPr/>
      <w:r>
        <w:t>Uso recomendado: Montserrat Bold/ExtraBold para títulos e identificação da marca; Montserrat Regular/Medium para textos de apoio, quando disponível. Em documentos acadêmicos, fontes institucionais do projeto podem ser usadas no corpo do texto, mantendo Montserrat nos elementos de identidade.</w:t>
      </w:r>
    </w:p>
    <w:p>
      <w:pPr>
        <w:jc w:val="center"/>
      </w:pPr>
      <w:r>
        <w:rPr>
          <w:rFonts w:ascii="Montserrat" w:hAnsi="Montserrat"/>
          <w:b/>
          <w:color w:val="2F414B"/>
          <w:sz w:val="60"/>
        </w:rPr>
        <w:t>ALIVIUM</w:t>
      </w:r>
    </w:p>
    <w:p>
      <w:pPr>
        <w:pStyle w:val="Heading1"/>
      </w:pPr>
      <w:r>
        <w:t>6. Variações de assinatura</w:t>
      </w:r>
    </w:p>
    <w:p>
      <w:pPr/>
      <w:r>
        <w:t>A assinatura principal deve ser priorizada em materiais institucionais. Para diferentes contextos, são previstas versões monocromáticas e de contraste.</w:t>
      </w:r>
    </w:p>
    <w:p>
      <w:pPr>
        <w:pStyle w:val="Heading2"/>
      </w:pPr>
      <w:r>
        <w:t>Assinatura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75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Uso preferencial em fundos claros e aplicações institucionais.</w:t>
      </w:r>
    </w:p>
    <w:p>
      <w:pPr>
        <w:pStyle w:val="Heading2"/>
      </w:pPr>
      <w:r>
        <w:t>Versão positiva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75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ositi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Monocromática escura; indicada quando a reprodução em cores não for possível.</w:t>
      </w:r>
    </w:p>
    <w:p>
      <w:pPr>
        <w:pStyle w:val="Heading2"/>
      </w:pPr>
      <w:r>
        <w:t>Versão cinza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75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inz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Indicada para materiais com linguagem neutra, documentos e aplicações secundárias.</w:t>
      </w:r>
    </w:p>
    <w:p>
      <w:pPr>
        <w:pStyle w:val="Heading2"/>
      </w:pPr>
      <w:r>
        <w:t>Versão negativa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75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gati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Aplicação em fundos escuros ou áreas de baixo brilho. O contraste deve ser suficiente para preservar a leitura.</w:t>
      </w:r>
    </w:p>
    <w:p>
      <w:pPr>
        <w:pStyle w:val="Heading1"/>
      </w:pPr>
      <w:r>
        <w:t>7. Versões — cinza, positiva e negativa</w:t>
      </w:r>
    </w:p>
    <w:p>
      <w:pPr/>
      <w:r>
        <w:t>As versões abaixo funcionam como alternativas técnicas da mesma assinatura. A escolha deve considerar contraste, legibilidade e contexto de produção; não devem ser usadas para criar novas combinações cromáticas não previstas neste manual.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Cinza</w:t>
            </w:r>
          </w:p>
        </w:tc>
        <w:tc>
          <w:tcPr>
            <w:tcW w:type="dxa" w:w="336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Positiva</w:t>
            </w:r>
          </w:p>
        </w:tc>
        <w:tc>
          <w:tcPr>
            <w:tcW w:type="dxa" w:w="336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Negativa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15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inz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15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ositiv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15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egativ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8. Proibições</w:t>
      </w:r>
    </w:p>
    <w:p>
      <w:pPr/>
      <w:r>
        <w:t>Para preservar consistência e reconhecimento, a marca não deve sofrer alterações que descaracterizem sua construção. São proibidos, especialmente:</w:t>
      </w:r>
    </w:p>
    <w:p>
      <w:pPr>
        <w:pStyle w:val="ListBullet"/>
      </w:pPr>
      <w:r>
        <w:t>distorcer, esticar ou comprimir a proporção do logotipo;</w:t>
      </w:r>
    </w:p>
    <w:p>
      <w:pPr>
        <w:pStyle w:val="ListBullet"/>
      </w:pPr>
      <w:r>
        <w:t>girar ou inclinar a assinatura sem previsão no manual;</w:t>
      </w:r>
    </w:p>
    <w:p>
      <w:pPr>
        <w:pStyle w:val="ListBullet"/>
      </w:pPr>
      <w:r>
        <w:t>alterar aleatoriamente as cores do símbolo ou do logotipo;</w:t>
      </w:r>
    </w:p>
    <w:p>
      <w:pPr>
        <w:pStyle w:val="ListBullet"/>
      </w:pPr>
      <w:r>
        <w:t>aplicar gradientes, sombras, brilhos, contornos ou efeitos não previstos;</w:t>
      </w:r>
    </w:p>
    <w:p>
      <w:pPr>
        <w:pStyle w:val="ListBullet"/>
      </w:pPr>
      <w:r>
        <w:t>trocar a tipografia do logotipo ou redesenhar suas letras;</w:t>
      </w:r>
    </w:p>
    <w:p>
      <w:pPr>
        <w:pStyle w:val="ListBullet"/>
      </w:pPr>
      <w:r>
        <w:t>sobrepor a marca a fundos que reduzam a legibilidade;</w:t>
      </w:r>
    </w:p>
    <w:p>
      <w:pPr>
        <w:pStyle w:val="ListBullet"/>
      </w:pPr>
      <w:r>
        <w:t>recortar, separar ou reorganizar símbolo e logotipo de forma não prevista;</w:t>
      </w:r>
    </w:p>
    <w:p>
      <w:pPr>
        <w:pStyle w:val="ListBullet"/>
      </w:pPr>
      <w:r>
        <w:t>usar baixa resolução em materiais onde exista a versão vetorial disponível.</w:t>
      </w:r>
    </w:p>
    <w:p>
      <w:pPr>
        <w:pStyle w:val="Heading1"/>
      </w:pPr>
      <w:r>
        <w:t>9. Padrão de utilização</w:t>
      </w:r>
    </w:p>
    <w:p>
      <w:pPr/>
      <w:r>
        <w:t>A identidade deve manter a mesma lógica visual em todos os pontos de contato do Projeto Integrador. Abaixo está uma orientação prática por meio de aplicação.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Aplicação</w:t>
            </w:r>
          </w:p>
        </w:tc>
        <w:tc>
          <w:tcPr>
            <w:tcW w:type="dxa" w:w="252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Versão recomendada</w:t>
            </w:r>
          </w:p>
        </w:tc>
        <w:tc>
          <w:tcPr>
            <w:tcW w:type="dxa" w:w="252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520"/>
            <w:shd w:fill="2F414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/>
                <w:color w:val="2F414B"/>
                <w:sz w:val="16"/>
              </w:rPr>
              <w:t>Site / landing page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Principal ou positiva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Alta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Usar em cabeçalho, rodapé e áreas institucionais; garantir contraste.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/>
                <w:color w:val="2F414B"/>
                <w:sz w:val="16"/>
              </w:rPr>
              <w:t>Aplicativo / interface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Principal ou positiva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Alta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Preferir o símbolo em locais pequenos, quando a assinatura completa perder legibilidade.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/>
                <w:color w:val="2F414B"/>
                <w:sz w:val="16"/>
              </w:rPr>
              <w:t>Apresentação do PI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Principal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Alta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Capa, slides institucionais e identificação do projeto.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/>
                <w:color w:val="2F414B"/>
                <w:sz w:val="16"/>
              </w:rPr>
              <w:t>Documento acadêmico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Cinza ou positiva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Alta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Aplicar com respiro e sem competir visualmente com o conteúdo.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/>
                <w:color w:val="2F414B"/>
                <w:sz w:val="16"/>
              </w:rPr>
              <w:t>Redes sociais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Principal / símbolo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Média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Avatar: priorizar o símbolo; capa e posts: assinatura completa.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/>
                <w:color w:val="2F414B"/>
                <w:sz w:val="16"/>
              </w:rPr>
              <w:t>Impressos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Principal ou cinza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Alta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Usar arquivo vetorial e respeitar margem de segurança.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/>
                <w:color w:val="2F414B"/>
                <w:sz w:val="16"/>
              </w:rPr>
              <w:t>Materiais promocionais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Principal / negativa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Média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color w:val="2F414B"/>
                <w:sz w:val="16"/>
              </w:rPr>
              <w:t>Escolher conforme o fundo e manter contraste adequado.</w:t>
            </w:r>
          </w:p>
        </w:tc>
      </w:tr>
    </w:tbl>
    <w:p>
      <w:pPr>
        <w:pStyle w:val="Heading1"/>
      </w:pPr>
      <w:r>
        <w:t>10. Assinatura em diferentes contextos</w:t>
      </w:r>
    </w:p>
    <w:p>
      <w:pPr/>
      <w:r>
        <w:t>Quando o espaço horizontal for reduzido, a prioridade é preservar a identificação da marca. O símbolo pode ser utilizado isoladamente em ícones, favicons e avatares, desde que o contexto deixe clara a associação com a ALIVIUM. A assinatura completa deve ser mantida em apresentações, páginas institucionais e peças em que exista espaço suficiente.</w:t>
      </w:r>
    </w:p>
    <w:p>
      <w:pPr>
        <w:pStyle w:val="Heading1"/>
      </w:pPr>
      <w:r>
        <w:t>11. Diretrizes para o Projeto Integrador</w:t>
      </w:r>
    </w:p>
    <w:p>
      <w:pPr/>
      <w:r>
        <w:t>Para a entrega acadêmica, a MIV deve funcionar como uma extensão da proposta do PI: uma identidade consistente ajuda a demonstrar planejamento, comunicação e coerência entre problema, solução e experiência do usuário. Recomenda-se aplicar a marca de forma uniforme na apresentação, protótipo, documentação, telas e materiais de divulgação do projeto.</w:t>
      </w:r>
    </w:p>
    <w:p>
      <w:pPr/>
      <w:r>
        <w:t>Importante: este manual documenta a identidade visual apresentada no arquivo vetorial fornecido. Sempre que uma nova peça for criada, deve-se verificar cor, proporção, contraste, área de proteção e versão da assinatura antes da publicação.</w:t>
      </w:r>
    </w:p>
    <w:p>
      <w:pPr>
        <w:pStyle w:val="Heading1"/>
      </w:pPr>
      <w:r>
        <w:t>12. Checklist rápido de aplicação</w:t>
      </w:r>
    </w:p>
    <w:p>
      <w:pPr>
        <w:pStyle w:val="ListBullet"/>
      </w:pPr>
      <w:r>
        <w:t>A marca está proporcional, sem deformações?</w:t>
      </w:r>
    </w:p>
    <w:p>
      <w:pPr>
        <w:pStyle w:val="ListBullet"/>
      </w:pPr>
      <w:r>
        <w:t>A versão escolhida possui contraste suficiente com o fundo?</w:t>
      </w:r>
    </w:p>
    <w:p>
      <w:pPr>
        <w:pStyle w:val="ListBullet"/>
      </w:pPr>
      <w:r>
        <w:t>A área de proteção foi respeitada?</w:t>
      </w:r>
    </w:p>
    <w:p>
      <w:pPr>
        <w:pStyle w:val="ListBullet"/>
      </w:pPr>
      <w:r>
        <w:t>A escala mantém a leitura do logotipo e os detalhes do símbolo?</w:t>
      </w:r>
    </w:p>
    <w:p>
      <w:pPr>
        <w:pStyle w:val="ListBullet"/>
      </w:pPr>
      <w:r>
        <w:t>As cores utilizadas pertencem à paleta definida?</w:t>
      </w:r>
    </w:p>
    <w:p>
      <w:pPr>
        <w:pStyle w:val="ListBullet"/>
      </w:pPr>
      <w:r>
        <w:t>A tipografia do logotipo foi preservada?</w:t>
      </w:r>
    </w:p>
    <w:p>
      <w:pPr>
        <w:pStyle w:val="ListBullet"/>
      </w:pPr>
      <w:r>
        <w:t>A aplicação é coerente com o meio: web, app ou impresso?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F74"/>
        <w:sz w:val="16"/>
      </w:rPr>
      <w:t>ALIVIUM • Manual de Identidade Visual • Projeto Integrador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F41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41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847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41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41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