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No artigo abaixo você terá as orientações de como pode ser realizado a importação do XML das notas fiscais enviadas pelo seu fornecedor através do Office Impresso, ou caso não tenha o arquivo XML também poderá baixar o XML consultando diretamente a SEFAZ na manifestação do destinatário ou através da chave de acesso. Segue abaixo o passo a passo de como realizar o procedimento em cada caso: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O processo pode ser feito através da tela </w:t>
      </w:r>
      <w:r>
        <w:rPr>
          <w:rFonts w:eastAsia="Tahoma" w:cs="Tahoma" w:ascii="Tahoma" w:hAnsi="Tahoma"/>
          <w:b/>
          <w:sz w:val="26"/>
          <w:szCs w:val="26"/>
        </w:rPr>
        <w:t>Adicionar Compras.</w:t>
      </w:r>
      <w:r>
        <w:rPr>
          <w:rFonts w:eastAsia="Tahoma" w:cs="Tahoma" w:ascii="Tahoma" w:hAnsi="Tahoma"/>
          <w:sz w:val="26"/>
          <w:szCs w:val="26"/>
        </w:rPr>
        <w:t xml:space="preserve"> Para acessá-la, selecione o ícone </w:t>
      </w:r>
      <w:r>
        <w:rPr>
          <w:rFonts w:eastAsia="Tahoma" w:cs="Tahoma" w:ascii="Tahoma" w:hAnsi="Tahoma"/>
          <w:b/>
          <w:sz w:val="26"/>
          <w:szCs w:val="26"/>
        </w:rPr>
        <w:t>Compra</w:t>
      </w:r>
      <w:r>
        <w:rPr>
          <w:rFonts w:eastAsia="Tahoma" w:cs="Tahoma" w:ascii="Tahoma" w:hAnsi="Tahoma"/>
          <w:sz w:val="26"/>
          <w:szCs w:val="26"/>
        </w:rPr>
        <w:t xml:space="preserve">, como é exibido abaixo: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/>
        <w:drawing>
          <wp:inline distT="0" distB="0" distL="0" distR="0">
            <wp:extent cx="5731510" cy="29464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Após a abertura da tela, um clique sobre o botão</w:t>
      </w:r>
      <w:r>
        <w:rPr>
          <w:rFonts w:eastAsia="Tahoma" w:cs="Tahoma" w:ascii="Tahoma" w:hAnsi="Tahoma"/>
          <w:b/>
          <w:sz w:val="26"/>
          <w:szCs w:val="26"/>
        </w:rPr>
        <w:t xml:space="preserve"> Importar NFe</w:t>
      </w:r>
      <w:r>
        <w:rPr>
          <w:rFonts w:eastAsia="Tahoma" w:cs="Tahoma" w:ascii="Tahoma" w:hAnsi="Tahoma"/>
          <w:sz w:val="26"/>
          <w:szCs w:val="26"/>
        </w:rPr>
        <w:t xml:space="preserve"> exibirá as opções descritas a seguir: </w:t>
      </w:r>
      <w:r>
        <w:rPr/>
        <w:drawing>
          <wp:inline distT="0" distB="0" distL="0" distR="0">
            <wp:extent cx="5731510" cy="2870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Importar XML: </w:t>
      </w:r>
      <w:r>
        <w:rPr>
          <w:rFonts w:eastAsia="Tahoma" w:cs="Tahoma" w:ascii="Tahoma" w:hAnsi="Tahoma"/>
          <w:sz w:val="26"/>
          <w:szCs w:val="26"/>
        </w:rPr>
        <w:t xml:space="preserve">Selecionado, abre a janela de diretórios do windows para localizar o arquivo xml da nota que será importada para o sistema. </w:t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/>
        <w:drawing>
          <wp:inline distT="0" distB="0" distL="0" distR="0">
            <wp:extent cx="5731510" cy="40513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Uma vez que o arquivo for selecionado, é só clicar sobre o botão </w:t>
      </w:r>
      <w:r>
        <w:rPr>
          <w:rFonts w:eastAsia="Tahoma" w:cs="Tahoma" w:ascii="Tahoma" w:hAnsi="Tahoma"/>
          <w:b/>
          <w:sz w:val="26"/>
          <w:szCs w:val="26"/>
        </w:rPr>
        <w:t>Abrir</w:t>
      </w:r>
      <w:r>
        <w:rPr>
          <w:rFonts w:eastAsia="Tahoma" w:cs="Tahoma" w:ascii="Tahoma" w:hAnsi="Tahoma"/>
          <w:sz w:val="26"/>
          <w:szCs w:val="26"/>
        </w:rPr>
        <w:t xml:space="preserve"> para que a nota de compra seja importada.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Manifestação do destinatário</w:t>
      </w:r>
      <w:r>
        <w:rPr>
          <w:rFonts w:eastAsia="Tahoma" w:cs="Tahoma" w:ascii="Tahoma" w:hAnsi="Tahoma"/>
          <w:b/>
          <w:sz w:val="26"/>
          <w:szCs w:val="26"/>
        </w:rPr>
        <w:t>:</w:t>
      </w:r>
      <w:r>
        <w:rPr>
          <w:rFonts w:eastAsia="Tahoma" w:cs="Tahoma" w:ascii="Tahoma" w:hAnsi="Tahoma"/>
          <w:sz w:val="26"/>
          <w:szCs w:val="26"/>
        </w:rPr>
        <w:t xml:space="preserve"> Para utilização desta opção é necessário ter o certificado digital instalado. Realiza a busca de todas as notas fiscais eletrônicas dos últimos 3 meses emitidos contra o seu CNPJ. Selecionado, será aberta a tela de Manifestação do Destinatário.</w:t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/>
        <w:drawing>
          <wp:inline distT="0" distB="0" distL="0" distR="0">
            <wp:extent cx="5731510" cy="29591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ind w:hanging="0" w:left="0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Uma vez aberta a tela, um clique sobre o botão “</w:t>
      </w:r>
      <w:r>
        <w:rPr>
          <w:rFonts w:eastAsia="Tahoma" w:cs="Tahoma" w:ascii="Tahoma" w:hAnsi="Tahoma"/>
          <w:sz w:val="26"/>
          <w:szCs w:val="26"/>
        </w:rPr>
        <w:t>Consultar</w:t>
      </w:r>
      <w:r>
        <w:rPr>
          <w:rFonts w:eastAsia="Tahoma" w:cs="Tahoma" w:ascii="Tahoma" w:hAnsi="Tahoma"/>
          <w:sz w:val="26"/>
          <w:szCs w:val="26"/>
        </w:rPr>
        <w:t>” realiza a consulta automática das notas emitidas contra o seu CNPJ. Selecionada a nota, realiza-se a manifestação através das opções (Ciência, Confirmação, Não Realizada, Desconhecimento). Lembrando que o evento de Ciência apenas indica que se tem conhecimento da operação representada pela nota e permite baixar o xml da nota fiscal, sendo obrigatório a realização de um dos eventos em até 180 dias</w:t>
      </w:r>
      <w:r>
        <w:rPr>
          <w:rFonts w:eastAsia="Tahoma" w:cs="Tahoma" w:ascii="Tahoma" w:hAnsi="Tahoma"/>
          <w:b/>
          <w:sz w:val="26"/>
          <w:szCs w:val="26"/>
        </w:rPr>
        <w:t xml:space="preserve">: Confirmação, Desconhecimento </w:t>
      </w:r>
      <w:r>
        <w:rPr>
          <w:rFonts w:eastAsia="Tahoma" w:cs="Tahoma" w:ascii="Tahoma" w:hAnsi="Tahoma"/>
          <w:sz w:val="26"/>
          <w:szCs w:val="26"/>
        </w:rPr>
        <w:t xml:space="preserve">ou </w:t>
      </w:r>
      <w:r>
        <w:rPr>
          <w:rFonts w:eastAsia="Tahoma" w:cs="Tahoma" w:ascii="Tahoma" w:hAnsi="Tahoma"/>
          <w:b/>
          <w:sz w:val="26"/>
          <w:szCs w:val="26"/>
        </w:rPr>
        <w:t xml:space="preserve">Não realizada.  </w:t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Após o processo de manifestação, o retorno pela SEFAZ pode levar de cinco minutos a um dia, sendo necessário efetuar uma nova consulta (Botão “Baixar Notas”) para trazer o retorno. Posteriormente, é possível encontrar a nota desejada com o status “Lançar na Compra”, bastando um clique sobre o botão </w:t>
      </w:r>
      <w:r>
        <w:rPr>
          <w:rFonts w:eastAsia="Tahoma" w:cs="Tahoma" w:ascii="Tahoma" w:hAnsi="Tahoma"/>
          <w:b/>
          <w:sz w:val="26"/>
          <w:szCs w:val="26"/>
        </w:rPr>
        <w:t xml:space="preserve">Importar </w:t>
      </w:r>
      <w:r>
        <w:rPr>
          <w:rFonts w:eastAsia="Tahoma" w:cs="Tahoma" w:ascii="Tahoma" w:hAnsi="Tahoma"/>
          <w:sz w:val="26"/>
          <w:szCs w:val="26"/>
        </w:rPr>
        <w:t xml:space="preserve">para concluir o processo.  </w:t>
      </w:r>
    </w:p>
    <w:p>
      <w:pPr>
        <w:pStyle w:val="Normal1"/>
        <w:ind w:hanging="0" w:left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/>
        <w:drawing>
          <wp:inline distT="0" distB="0" distL="0" distR="0">
            <wp:extent cx="5731510" cy="28956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Consulta XML Terceiros:  </w:t>
      </w:r>
      <w:r>
        <w:rPr>
          <w:rFonts w:eastAsia="Tahoma" w:cs="Tahoma" w:ascii="Tahoma" w:hAnsi="Tahoma"/>
          <w:sz w:val="26"/>
          <w:szCs w:val="26"/>
        </w:rPr>
        <w:t>Para utilização desta opção é necessário ter o certificado digital instalado. Realiza a importação da nota de compra através da chave de acesso. Selecionado, exibirá a mensagem a seguir:</w:t>
      </w:r>
    </w:p>
    <w:p>
      <w:pPr>
        <w:pStyle w:val="Normal1"/>
        <w:ind w:hanging="0" w:left="720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ind w:hanging="0" w:left="720"/>
        <w:rPr>
          <w:rFonts w:ascii="Tahoma" w:hAnsi="Tahoma" w:eastAsia="Tahoma" w:cs="Tahoma"/>
          <w:b/>
          <w:sz w:val="26"/>
          <w:szCs w:val="26"/>
        </w:rPr>
      </w:pPr>
      <w:r>
        <w:rPr/>
        <w:drawing>
          <wp:inline distT="0" distB="0" distL="0" distR="0">
            <wp:extent cx="2981325" cy="144780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720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ind w:hanging="0" w:left="72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Clicando em </w:t>
      </w:r>
      <w:r>
        <w:rPr>
          <w:rFonts w:eastAsia="Tahoma" w:cs="Tahoma" w:ascii="Tahoma" w:hAnsi="Tahoma"/>
          <w:b/>
          <w:sz w:val="26"/>
          <w:szCs w:val="26"/>
        </w:rPr>
        <w:t>Sim,</w:t>
      </w:r>
      <w:r>
        <w:rPr>
          <w:rFonts w:eastAsia="Tahoma" w:cs="Tahoma" w:ascii="Tahoma" w:hAnsi="Tahoma"/>
          <w:sz w:val="26"/>
          <w:szCs w:val="26"/>
        </w:rPr>
        <w:t xml:space="preserve"> será apresentada a janela para a inserção da chave de acesso da nota que será importada. Inserido o número e clicando em </w:t>
      </w:r>
      <w:r>
        <w:rPr>
          <w:rFonts w:eastAsia="Tahoma" w:cs="Tahoma" w:ascii="Tahoma" w:hAnsi="Tahoma"/>
          <w:b/>
          <w:sz w:val="26"/>
          <w:szCs w:val="26"/>
        </w:rPr>
        <w:t>OK</w:t>
      </w:r>
      <w:r>
        <w:rPr>
          <w:rFonts w:eastAsia="Tahoma" w:cs="Tahoma" w:ascii="Tahoma" w:hAnsi="Tahoma"/>
          <w:sz w:val="26"/>
          <w:szCs w:val="26"/>
        </w:rPr>
        <w:t>, o processo de importação é executado.</w:t>
      </w:r>
    </w:p>
    <w:p>
      <w:pPr>
        <w:pStyle w:val="Normal1"/>
        <w:ind w:hanging="0" w:left="72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ind w:hanging="0" w:left="720"/>
        <w:rPr>
          <w:rFonts w:ascii="Tahoma" w:hAnsi="Tahoma" w:eastAsia="Tahoma" w:cs="Tahoma"/>
          <w:b/>
          <w:sz w:val="26"/>
          <w:szCs w:val="26"/>
        </w:rPr>
      </w:pPr>
      <w:r>
        <w:rPr/>
        <w:drawing>
          <wp:inline distT="0" distB="0" distL="0" distR="0">
            <wp:extent cx="2628900" cy="11430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Outra forma é através do ícone </w:t>
      </w:r>
      <w:r>
        <w:rPr>
          <w:rFonts w:eastAsia="Tahoma" w:cs="Tahoma" w:ascii="Tahoma" w:hAnsi="Tahoma"/>
          <w:b/>
          <w:sz w:val="26"/>
          <w:szCs w:val="26"/>
        </w:rPr>
        <w:t>Compra,</w:t>
      </w:r>
      <w:r>
        <w:rPr>
          <w:rFonts w:eastAsia="Tahoma" w:cs="Tahoma" w:ascii="Tahoma" w:hAnsi="Tahoma"/>
          <w:sz w:val="26"/>
          <w:szCs w:val="26"/>
        </w:rPr>
        <w:t xml:space="preserve"> selecionando a opção </w:t>
      </w:r>
      <w:r>
        <w:rPr>
          <w:rFonts w:eastAsia="Tahoma" w:cs="Tahoma" w:ascii="Tahoma" w:hAnsi="Tahoma"/>
          <w:b/>
          <w:sz w:val="26"/>
          <w:szCs w:val="26"/>
        </w:rPr>
        <w:t>Importar XML - Arquivo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drawing>
          <wp:inline distT="0" distB="0" distL="0" distR="0">
            <wp:extent cx="5731510" cy="29718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Posteriormente, será aberta a tela de cadastro de compra seguida da janela de diretórios do windows para localizar o arquivo xml.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/>
      </w:pPr>
      <w:r>
        <w:rPr/>
        <w:drawing>
          <wp:inline distT="0" distB="0" distL="0" distR="0">
            <wp:extent cx="5731510" cy="28702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Selecionado o arquivo, basta clicar no botão </w:t>
      </w:r>
      <w:r>
        <w:rPr>
          <w:rFonts w:eastAsia="Tahoma" w:cs="Tahoma" w:ascii="Tahoma" w:hAnsi="Tahoma"/>
          <w:b/>
          <w:sz w:val="26"/>
          <w:szCs w:val="26"/>
        </w:rPr>
        <w:t>Abrir</w:t>
      </w:r>
      <w:r>
        <w:rPr>
          <w:rFonts w:eastAsia="Tahoma" w:cs="Tahoma" w:ascii="Tahoma" w:hAnsi="Tahoma"/>
          <w:sz w:val="26"/>
          <w:szCs w:val="26"/>
        </w:rPr>
        <w:t xml:space="preserve"> para que a nota seja importada para o sistema.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Dicas importantes sobre a Manifestação do Destinatário: (Linkar também na Manifestação do Destinatário e na opção abaixo: )</w:t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/>
        <w:drawing>
          <wp:inline distT="0" distB="0" distL="0" distR="0">
            <wp:extent cx="5219700" cy="35052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shd w:val="clear" w:fill="FFFFFF"/>
        <w:spacing w:lineRule="auto" w:line="240" w:before="300" w:after="460"/>
        <w:rPr>
          <w:rFonts w:ascii="Tahoma" w:hAnsi="Tahoma" w:eastAsia="Tahoma" w:cs="Tahoma"/>
          <w:b/>
          <w:color w:val="222222"/>
          <w:sz w:val="26"/>
          <w:szCs w:val="26"/>
        </w:rPr>
      </w:pPr>
      <w:r>
        <w:rPr>
          <w:rFonts w:eastAsia="Tahoma" w:cs="Tahoma" w:ascii="Tahoma" w:hAnsi="Tahoma"/>
          <w:b/>
          <w:color w:val="222222"/>
          <w:sz w:val="26"/>
          <w:szCs w:val="26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60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A consulta só pode ser realizada na SEFAZ uma vez a cada uma hora. Caso exceda o limite pode causar o bloqueio da consulta.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IMPORTANTE: Geralmente ocorre o bloqueio temporário, não sendo possível fazer nada além de aguardar o desbloqueio. Em caso de bloqueio permanente, procure a SEFAZ autorizadora.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Após a manifestação o tempo de espera pode ser de 5 à 10 minutos para o retorno da SEFAZ, ou até mesmo 1 dia.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O prazo para realizar o evento de Ciência da Operação é de 10 dias a partir da emissão da nota. Os demais eventos possuem um prazo de 180 dias.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O que vale na Manifestação do Destinatário é o último evento registrado.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Não é possível registrar a Ciência da Operação após ter registrado outro evento.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600"/>
        <w:ind w:hanging="360" w:left="720"/>
        <w:rPr>
          <w:rFonts w:ascii="Tahoma" w:hAnsi="Tahoma" w:eastAsia="Tahoma" w:cs="Tahoma"/>
          <w:color w:val="000000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Cada evento da manifestação só pode ser realizado uma vez.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Uma breve descrição sobre os eventos da Manifestação do Destinatário: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Ciência da Operação: </w:t>
      </w:r>
      <w:r>
        <w:rPr>
          <w:rFonts w:eastAsia="Tahoma" w:cs="Tahoma" w:ascii="Tahoma" w:hAnsi="Tahoma"/>
          <w:sz w:val="26"/>
          <w:szCs w:val="26"/>
        </w:rPr>
        <w:t>Informa que o destinatário tem conhecimento da operação representada pela nota, permitindo baixar o xml da nota fiscal. Considerado um evento não conclusivo, torna obrigatório a realização de um dos eventos abaixo em até 180 dias.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Confirmação da Operação:</w:t>
      </w:r>
      <w:r>
        <w:rPr>
          <w:rFonts w:eastAsia="Tahoma" w:cs="Tahoma" w:ascii="Tahoma" w:hAnsi="Tahoma"/>
          <w:sz w:val="26"/>
          <w:szCs w:val="26"/>
        </w:rPr>
        <w:t xml:space="preserve"> Informa que a mercadoria foi recebida sem falhas e que a operação descrita na nota ocorreu corretamente. Após a confirmação, a SEFAZ não autoriza o cancelamento desta nota.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Operação não Realizada:</w:t>
      </w:r>
      <w:r>
        <w:rPr>
          <w:rFonts w:eastAsia="Tahoma" w:cs="Tahoma" w:ascii="Tahoma" w:hAnsi="Tahoma"/>
          <w:sz w:val="26"/>
          <w:szCs w:val="26"/>
        </w:rPr>
        <w:t xml:space="preserve"> Informado pelo destinatário quando, por alguma razão, a operação que foi legalmente acordada entre as partes não se realizou. (Como no caso de devolução sem entrada física da mercadoria no estabelecimento do destinatário, sinistro da carga durante o transporte e etc)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Desconhecimento da Operação:</w:t>
      </w:r>
      <w:r>
        <w:rPr>
          <w:rFonts w:eastAsia="Tahoma" w:cs="Tahoma" w:ascii="Tahoma" w:hAnsi="Tahoma"/>
          <w:sz w:val="26"/>
          <w:szCs w:val="26"/>
        </w:rPr>
        <w:t xml:space="preserve"> O destinatário declara que a operação descrita na nota não foi solicitada por ele. </w:t>
      </w:r>
    </w:p>
    <w:p>
      <w:pPr>
        <w:pStyle w:val="Normal1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  <w:szCs w:val="24"/>
        <w:color w:val="2222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LibreOffice/7.6.4.1$Windows_X86_64 LibreOffice_project/e19e193f88cd6c0525a17fb7a176ed8e6a3e2aa1</Application>
  <AppVersion>15.0000</AppVersion>
  <Pages>7</Pages>
  <Words>742</Words>
  <Characters>3777</Characters>
  <CharactersWithSpaces>4501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2024-03-12T18:20:35Z</dcterms:modified>
  <cp:revision>1</cp:revision>
  <dc:subject/>
  <dc:title/>
</cp:coreProperties>
</file>