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Rahmenvertrag IT-Services</w:t>
      </w:r>
    </w:p>
    <w:p>
      <w:pPr>
        <w:pStyle w:val="Heading2"/>
      </w:pPr>
      <w:r>
        <w:t>1 Vertragsgegenstand</w:t>
      </w:r>
    </w:p>
    <w:p>
      <w:r>
        <w:t>Dieser Vertrag regelt die Erbringung von Managed Services zwischen dem Auftraggeber und dem Auftragnehmer.</w:t>
      </w:r>
    </w:p>
    <w:p>
      <w:pPr>
        <w:pStyle w:val="Heading2"/>
      </w:pPr>
      <w:r>
        <w:t>2 Service Level Agreement</w:t>
      </w:r>
    </w:p>
    <w:p>
      <w:r>
        <w:t>Der Auftragnehmer gewährleistet eine Verfügbarkeit von 99.5% gemessen auf Monatsbasis.</w:t>
      </w:r>
    </w:p>
    <w:p>
      <w:pPr>
        <w:pStyle w:val="Heading2"/>
      </w:pPr>
      <w:r>
        <w:t>3 Audit und Kontrolle</w:t>
      </w:r>
    </w:p>
    <w:p>
      <w:r>
        <w:t>Der Auftraggeber hat das Recht, jederzeit Audits und Prüfungen beim Auftragnehmer durchzuführen. Der Auftragnehmer stellt alle erforderlichen Unterlagen kostenfrei zur Verfügung.</w:t>
      </w:r>
    </w:p>
    <w:p>
      <w:pPr>
        <w:pStyle w:val="Heading3"/>
      </w:pPr>
      <w:r>
        <w:t>3.1 Auditfrequenz</w:t>
      </w:r>
    </w:p>
    <w:p>
      <w:r>
        <w:t>Es gibt keine Begrenzung der Auditfrequenz. Inspections können unlimited durchgeführt werden.</w:t>
      </w:r>
    </w:p>
    <w:p>
      <w:pPr>
        <w:pStyle w:val="Heading2"/>
      </w:pPr>
      <w:r>
        <w:t>4 Incident Management</w:t>
      </w:r>
    </w:p>
    <w:p>
      <w:r>
        <w:t>Sicherheitsvorfälle sind unverzüglich zu melden. Die Meldepflicht gilt für jeden Vorfall ohne Schwellenwert.</w:t>
      </w:r>
    </w:p>
    <w:p>
      <w:pPr>
        <w:pStyle w:val="Heading2"/>
      </w:pPr>
      <w:r>
        <w:t>5 Subunternehmer</w:t>
      </w:r>
    </w:p>
    <w:p>
      <w:r>
        <w:t>Der Einsatz von Subunternehmern bedarf der vorherigen Zustimmung. Gemäß Anlage 3 sind die genehmigten Unterauftragnehmer aufgeführt.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SLA</w:t>
            </w:r>
          </w:p>
        </w:tc>
      </w:tr>
      <w:tr>
        <w:tc>
          <w:tcPr>
            <w:tcW w:type="dxa" w:w="4320"/>
          </w:tcPr>
          <w:p>
            <w:r>
              <w:t>E-Mail</w:t>
            </w:r>
          </w:p>
        </w:tc>
        <w:tc>
          <w:tcPr>
            <w:tcW w:type="dxa" w:w="4320"/>
          </w:tcPr>
          <w:p>
            <w:r>
              <w:t>99.9%</w:t>
            </w:r>
          </w:p>
        </w:tc>
      </w:tr>
      <w:tr>
        <w:tc>
          <w:tcPr>
            <w:tcW w:type="dxa" w:w="4320"/>
          </w:tcPr>
          <w:p>
            <w:r>
              <w:t>Fileserver</w:t>
            </w:r>
          </w:p>
        </w:tc>
        <w:tc>
          <w:tcPr>
            <w:tcW w:type="dxa" w:w="4320"/>
          </w:tcPr>
          <w:p>
            <w:r>
              <w:t>99.5%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