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8C6" w:rsidRPr="00DC49E1" w:rsidRDefault="000F28C6" w:rsidP="000F28C6">
      <w:pPr>
        <w:rPr>
          <w:b/>
        </w:rPr>
      </w:pPr>
      <w:r w:rsidRPr="00DC49E1">
        <w:rPr>
          <w:b/>
        </w:rPr>
        <w:t>(9)  RBAC</w:t>
      </w:r>
      <w:r w:rsidRPr="00DC49E1">
        <w:rPr>
          <w:rFonts w:hint="eastAsia"/>
          <w:b/>
        </w:rPr>
        <w:t>模型是否可以实现中国墙模型？请说明理由。</w:t>
      </w:r>
    </w:p>
    <w:p w:rsidR="00793BBB" w:rsidRDefault="000F28C6" w:rsidP="006761AB">
      <w:r>
        <w:rPr>
          <w:rFonts w:hint="eastAsia"/>
        </w:rPr>
        <w:t>RBAC可以实现中国墙模型，RBAC将授权针对工作角色而不是直接针对用户，</w:t>
      </w:r>
      <w:r w:rsidRPr="000F28C6">
        <w:rPr>
          <w:rFonts w:hint="eastAsia"/>
        </w:rPr>
        <w:t>实现了用户与权限的逻辑分离，这样可以大大降低访问控制管理的复杂性，同时，角色的划分还有利于职责分离的实施。</w:t>
      </w:r>
      <w:r>
        <w:rPr>
          <w:rFonts w:hint="eastAsia"/>
        </w:rPr>
        <w:t>可以满足中国墙模型的两条规则，用户想获得怎样的权限必须在其获得对应的工作角色之后才能获得，可以解决利益冲突。</w:t>
      </w:r>
    </w:p>
    <w:p w:rsidR="007D59A7" w:rsidRPr="00DC49E1" w:rsidRDefault="00793BBB" w:rsidP="00793BBB">
      <w:pPr>
        <w:rPr>
          <w:b/>
        </w:rPr>
      </w:pPr>
      <w:r w:rsidRPr="00DC49E1">
        <w:rPr>
          <w:rFonts w:hint="eastAsia"/>
          <w:b/>
        </w:rPr>
        <w:t>（10）</w:t>
      </w:r>
      <w:r w:rsidR="00810D0C" w:rsidRPr="00DC49E1">
        <w:rPr>
          <w:rFonts w:hint="eastAsia"/>
          <w:b/>
        </w:rPr>
        <w:t>请自学</w:t>
      </w:r>
      <w:r w:rsidR="00810D0C" w:rsidRPr="00DC49E1">
        <w:rPr>
          <w:b/>
        </w:rPr>
        <w:t xml:space="preserve">NIST《Framework for Improving Critical Infrastructure Cybersecurity </w:t>
      </w:r>
      <w:r w:rsidR="00810D0C" w:rsidRPr="00DC49E1">
        <w:rPr>
          <w:rFonts w:hint="eastAsia"/>
          <w:b/>
        </w:rPr>
        <w:t>（</w:t>
      </w:r>
      <w:r w:rsidR="00810D0C" w:rsidRPr="00DC49E1">
        <w:rPr>
          <w:b/>
        </w:rPr>
        <w:t>v1.0</w:t>
      </w:r>
      <w:r w:rsidR="00810D0C" w:rsidRPr="00DC49E1">
        <w:rPr>
          <w:rFonts w:hint="eastAsia"/>
          <w:b/>
        </w:rPr>
        <w:t>）》附录</w:t>
      </w:r>
      <w:r w:rsidR="00810D0C" w:rsidRPr="00DC49E1">
        <w:rPr>
          <w:b/>
        </w:rPr>
        <w:t>A Framework Core</w:t>
      </w:r>
      <w:r w:rsidR="00810D0C" w:rsidRPr="00DC49E1">
        <w:rPr>
          <w:rFonts w:hint="eastAsia"/>
          <w:b/>
        </w:rPr>
        <w:t>中表“</w:t>
      </w:r>
      <w:r w:rsidR="00810D0C" w:rsidRPr="00DC49E1">
        <w:rPr>
          <w:b/>
        </w:rPr>
        <w:t>Table 2</w:t>
      </w:r>
      <w:r w:rsidR="00810D0C" w:rsidRPr="00DC49E1">
        <w:rPr>
          <w:rFonts w:hint="eastAsia"/>
          <w:b/>
        </w:rPr>
        <w:t>：</w:t>
      </w:r>
      <w:r w:rsidR="00810D0C" w:rsidRPr="00DC49E1">
        <w:rPr>
          <w:b/>
        </w:rPr>
        <w:t>Framework Core”</w:t>
      </w:r>
      <w:r w:rsidR="00810D0C" w:rsidRPr="00DC49E1">
        <w:rPr>
          <w:rFonts w:hint="eastAsia"/>
          <w:b/>
        </w:rPr>
        <w:t>的相关内容，选择其中一个分类（</w:t>
      </w:r>
      <w:r w:rsidR="00810D0C" w:rsidRPr="00DC49E1">
        <w:rPr>
          <w:b/>
        </w:rPr>
        <w:t>Category</w:t>
      </w:r>
      <w:r w:rsidR="00810D0C" w:rsidRPr="00DC49E1">
        <w:rPr>
          <w:rFonts w:hint="eastAsia"/>
          <w:b/>
        </w:rPr>
        <w:t>），例如“</w:t>
      </w:r>
      <w:r w:rsidR="00810D0C" w:rsidRPr="00DC49E1">
        <w:rPr>
          <w:b/>
        </w:rPr>
        <w:t>Access Control (PR.AC):”</w:t>
      </w:r>
      <w:r w:rsidR="00810D0C" w:rsidRPr="00DC49E1">
        <w:rPr>
          <w:rFonts w:hint="eastAsia"/>
          <w:b/>
        </w:rPr>
        <w:t>，用中文简要介绍其所有子类（</w:t>
      </w:r>
      <w:r w:rsidR="00810D0C" w:rsidRPr="00DC49E1">
        <w:rPr>
          <w:b/>
        </w:rPr>
        <w:t>Subcategory</w:t>
      </w:r>
      <w:r w:rsidR="00810D0C" w:rsidRPr="00DC49E1">
        <w:rPr>
          <w:rFonts w:hint="eastAsia"/>
          <w:b/>
        </w:rPr>
        <w:t>）的内容。</w:t>
      </w:r>
    </w:p>
    <w:p w:rsidR="00793BBB" w:rsidRDefault="00793BBB" w:rsidP="00793BBB">
      <w:r>
        <w:rPr>
          <w:rFonts w:hint="eastAsia"/>
        </w:rPr>
        <w:t>Access</w:t>
      </w:r>
      <w:r>
        <w:t xml:space="preserve"> </w:t>
      </w:r>
      <w:r>
        <w:rPr>
          <w:rFonts w:hint="eastAsia"/>
        </w:rPr>
        <w:t>Control（PR</w:t>
      </w:r>
      <w:r>
        <w:t>.AC</w:t>
      </w:r>
      <w:r>
        <w:rPr>
          <w:rFonts w:hint="eastAsia"/>
        </w:rPr>
        <w:t>）中包含了5个子类</w:t>
      </w:r>
    </w:p>
    <w:p w:rsidR="00793BBB" w:rsidRPr="00793BBB" w:rsidRDefault="00793BBB" w:rsidP="00793BBB">
      <w:r>
        <w:rPr>
          <w:rFonts w:hint="eastAsia"/>
        </w:rPr>
        <w:t>PR.AC-1：</w:t>
      </w:r>
      <w:r>
        <w:rPr>
          <w:rFonts w:ascii="微软雅黑" w:eastAsia="微软雅黑" w:hAnsi="微软雅黑" w:hint="eastAsia"/>
          <w:color w:val="333333"/>
          <w:sz w:val="18"/>
          <w:szCs w:val="18"/>
          <w:shd w:val="clear" w:color="auto" w:fill="FFFFFF"/>
        </w:rPr>
        <w:t>被授权的设备和用户的身份标识和证书是被管理的。</w:t>
      </w:r>
    </w:p>
    <w:p w:rsidR="00793BBB" w:rsidRPr="00793BBB" w:rsidRDefault="00793BBB" w:rsidP="00793BBB">
      <w:r>
        <w:rPr>
          <w:rFonts w:hint="eastAsia"/>
        </w:rPr>
        <w:t>PR.AC-2：</w:t>
      </w:r>
      <w:r>
        <w:rPr>
          <w:rFonts w:ascii="微软雅黑" w:eastAsia="微软雅黑" w:hAnsi="微软雅黑" w:hint="eastAsia"/>
          <w:color w:val="333333"/>
          <w:sz w:val="18"/>
          <w:szCs w:val="18"/>
          <w:shd w:val="clear" w:color="auto" w:fill="FFFFFF"/>
        </w:rPr>
        <w:t>对资产的物理存取是管理和保护的。</w:t>
      </w:r>
    </w:p>
    <w:p w:rsidR="00793BBB" w:rsidRPr="00793BBB" w:rsidRDefault="00793BBB" w:rsidP="00793BBB">
      <w:r>
        <w:rPr>
          <w:rFonts w:hint="eastAsia"/>
        </w:rPr>
        <w:t>PR.AC-3：</w:t>
      </w:r>
      <w:r w:rsidRPr="00793BBB">
        <w:rPr>
          <w:rFonts w:hint="eastAsia"/>
        </w:rPr>
        <w:t>远程访问是托管的</w:t>
      </w:r>
    </w:p>
    <w:p w:rsidR="00793BBB" w:rsidRPr="00793BBB" w:rsidRDefault="00793BBB" w:rsidP="00793BBB">
      <w:r>
        <w:rPr>
          <w:rFonts w:hint="eastAsia"/>
        </w:rPr>
        <w:t>PR.AC-4：</w:t>
      </w:r>
      <w:r w:rsidRPr="00793BBB">
        <w:rPr>
          <w:rFonts w:hint="eastAsia"/>
        </w:rPr>
        <w:t>Access权限是被管理的，包含“最小特权”和“分离”的原理</w:t>
      </w:r>
    </w:p>
    <w:p w:rsidR="004C540C" w:rsidRPr="00793BBB" w:rsidRDefault="00793BBB" w:rsidP="00793BBB">
      <w:r>
        <w:rPr>
          <w:rFonts w:hint="eastAsia"/>
        </w:rPr>
        <w:t>PR.AC-5：</w:t>
      </w:r>
      <w:r w:rsidRPr="00793BBB">
        <w:rPr>
          <w:rFonts w:hint="eastAsia"/>
        </w:rPr>
        <w:t>网络的完整性是受保护的适当的，包含了网络的隔离性。</w:t>
      </w:r>
    </w:p>
    <w:p w:rsidR="00793BBB" w:rsidRPr="00DC49E1" w:rsidRDefault="00793BBB" w:rsidP="00793BBB">
      <w:pPr>
        <w:rPr>
          <w:b/>
        </w:rPr>
      </w:pPr>
      <w:r w:rsidRPr="00DC49E1">
        <w:rPr>
          <w:rFonts w:hint="eastAsia"/>
          <w:b/>
        </w:rPr>
        <w:t>（11）简要阐述三纵三横两个中心的信息安全技术防护框架。</w:t>
      </w:r>
    </w:p>
    <w:p w:rsidR="00793BBB" w:rsidRPr="006761AB" w:rsidRDefault="006761AB" w:rsidP="00793BBB">
      <w:r w:rsidRPr="006761AB">
        <w:rPr>
          <w:rFonts w:hint="eastAsia"/>
        </w:rPr>
        <w:t>在工作流程相对固定的重要信息系统中，信息系统主要由操作应用、共享服务和网络通信三个环节组成。如果信息系统中每一个使用者都是在安全管理支持下经过认证和授权的，其操作都是符合规定的，网络上也不会被窃听和插入，那么就不会产生攻击性的事故，就能够保证整个信息系统的安全，这便构成了工作流程相对固定的生产系统内的信息安全保护框架。在技术层面上将信息系统安全保护分为以下五个环节作为保护重点：应用环境 、应用区域边界 、网络和通信传输 、安全管理中心 、密码管理中心</w:t>
      </w:r>
      <w:r w:rsidRPr="006761AB">
        <w:t xml:space="preserve"> </w:t>
      </w:r>
    </w:p>
    <w:p w:rsidR="007D59A7" w:rsidRPr="00DC49E1" w:rsidRDefault="00793BBB" w:rsidP="00793BBB">
      <w:pPr>
        <w:rPr>
          <w:b/>
        </w:rPr>
      </w:pPr>
      <w:r w:rsidRPr="00DC49E1">
        <w:rPr>
          <w:rFonts w:hint="eastAsia"/>
          <w:b/>
        </w:rPr>
        <w:t>（12）</w:t>
      </w:r>
      <w:r w:rsidR="00810D0C" w:rsidRPr="00DC49E1">
        <w:rPr>
          <w:rFonts w:hint="eastAsia"/>
          <w:b/>
        </w:rPr>
        <w:t>如何理解可信计算的概念，可信计算和传统的信息安全保护机制的不同点是什么？</w:t>
      </w:r>
    </w:p>
    <w:p w:rsidR="007A5AD7" w:rsidRPr="007A5AD7" w:rsidRDefault="007A5AD7" w:rsidP="007A5AD7">
      <w:pPr>
        <w:widowControl/>
        <w:shd w:val="clear" w:color="auto" w:fill="FFFFFF"/>
        <w:spacing w:line="360" w:lineRule="atLeast"/>
        <w:jc w:val="left"/>
      </w:pPr>
      <w:r>
        <w:t>可信计算</w:t>
      </w:r>
      <w:r w:rsidRPr="007A5AD7">
        <w:t>是在计算和通信系统中广泛使用基于硬件安全模块支持下的可信计算平台，以提高系统整体的安全性。签注</w:t>
      </w:r>
      <w:hyperlink r:id="rId7" w:tgtFrame="_blank" w:history="1">
        <w:r w:rsidRPr="007A5AD7">
          <w:t>密钥</w:t>
        </w:r>
      </w:hyperlink>
      <w:r w:rsidRPr="007A5AD7">
        <w:t>是一个2048位的RSA公共和私有密钥对，它在芯片出厂时随机生成并且不能改变。这个私有密钥永远在芯片里，而公共密钥用来认证及加密发送到该芯片的敏感数据。</w:t>
      </w:r>
    </w:p>
    <w:p w:rsidR="007A5AD7" w:rsidRPr="007A5AD7" w:rsidRDefault="005E2950" w:rsidP="00793BBB">
      <w:r>
        <w:rPr>
          <w:rFonts w:hint="eastAsia"/>
        </w:rPr>
        <w:t>可信计算是在硬件平台上引入安全芯片（可信平台模块）来提高终端系统地安全性，也就是在每个终端平台上植入一个信任根，让护士从bios到操作系统内核再到应用层构建信任关系，当终端收到攻击时能够实现自我保护、自我管理和恢复；而传统的信息安全保护机制是通过授权给相应角色以相应工作从而得到该部分的权限，并没有从计算机的硬件平台出发。</w:t>
      </w:r>
    </w:p>
    <w:p w:rsidR="007D59A7" w:rsidRPr="00DC49E1" w:rsidRDefault="00793BBB" w:rsidP="00793BBB">
      <w:pPr>
        <w:rPr>
          <w:b/>
        </w:rPr>
      </w:pPr>
      <w:r w:rsidRPr="00DC49E1">
        <w:rPr>
          <w:rFonts w:hint="eastAsia"/>
          <w:b/>
        </w:rPr>
        <w:t>（13）</w:t>
      </w:r>
      <w:r w:rsidR="00810D0C" w:rsidRPr="00DC49E1">
        <w:rPr>
          <w:rFonts w:hint="eastAsia"/>
          <w:b/>
        </w:rPr>
        <w:t>什么是可信计算基（</w:t>
      </w:r>
      <w:r w:rsidR="00810D0C" w:rsidRPr="00DC49E1">
        <w:rPr>
          <w:b/>
        </w:rPr>
        <w:t>TCB</w:t>
      </w:r>
      <w:r w:rsidR="00810D0C" w:rsidRPr="00DC49E1">
        <w:rPr>
          <w:rFonts w:hint="eastAsia"/>
          <w:b/>
        </w:rPr>
        <w:t>）？</w:t>
      </w:r>
    </w:p>
    <w:p w:rsidR="00A848F7" w:rsidRDefault="00A848F7" w:rsidP="00A848F7">
      <w:r w:rsidRPr="00A848F7">
        <w:rPr>
          <w:rFonts w:hint="eastAsia"/>
        </w:rPr>
        <w:t>在一个安全操作系统中，与安全相关的部分的全体被定义为可信计算基，即</w:t>
      </w:r>
      <w:r w:rsidRPr="00A848F7">
        <w:t>TCB</w:t>
      </w:r>
      <w:r w:rsidRPr="00A848F7">
        <w:rPr>
          <w:rFonts w:hint="eastAsia"/>
        </w:rPr>
        <w:t>，它由计算机系统中所有安全保护机制构成的。</w:t>
      </w:r>
    </w:p>
    <w:p w:rsidR="00A848F7" w:rsidRPr="00A848F7" w:rsidRDefault="00A848F7" w:rsidP="00A848F7">
      <w:r w:rsidRPr="00A848F7">
        <w:t xml:space="preserve">GB 17859 </w:t>
      </w:r>
      <w:r w:rsidRPr="00A848F7">
        <w:rPr>
          <w:rFonts w:hint="eastAsia"/>
        </w:rPr>
        <w:t>定义可信计算基为：计算机系统内保护装置的总体，包括硬件、固件、软件和负责执行安全策略的组合体。它建立了一个基本的保护环境并提供一个可信计算系统所要求的附加用户服务。</w:t>
      </w:r>
    </w:p>
    <w:p w:rsidR="005E2950" w:rsidRDefault="00A848F7" w:rsidP="005E2950">
      <w:r w:rsidRPr="00A848F7">
        <w:t xml:space="preserve">可信计算基是安全操作系统自身安全性的基石。为了确保安全操作系统自身的安全性，就需要确保TCB </w:t>
      </w:r>
      <w:r w:rsidRPr="00A848F7">
        <w:rPr>
          <w:rFonts w:hint="eastAsia"/>
        </w:rPr>
        <w:t>的设计遵循一些原则。高安全级别的操作系统要求</w:t>
      </w:r>
      <w:r w:rsidRPr="00A848F7">
        <w:t xml:space="preserve">TCB </w:t>
      </w:r>
      <w:r w:rsidRPr="00A848F7">
        <w:rPr>
          <w:rFonts w:hint="eastAsia"/>
        </w:rPr>
        <w:t>独立于系统的其它部分，要求</w:t>
      </w:r>
      <w:r w:rsidRPr="00A848F7">
        <w:t xml:space="preserve">TCB </w:t>
      </w:r>
      <w:r w:rsidRPr="00A848F7">
        <w:rPr>
          <w:rFonts w:hint="eastAsia"/>
        </w:rPr>
        <w:t>中不含有和安全无关的内容，并且要求</w:t>
      </w:r>
      <w:r w:rsidRPr="00A848F7">
        <w:t xml:space="preserve">TCB </w:t>
      </w:r>
      <w:r w:rsidRPr="00A848F7">
        <w:rPr>
          <w:rFonts w:hint="eastAsia"/>
        </w:rPr>
        <w:t>的设计具有引用监视器的特性，使</w:t>
      </w:r>
      <w:r w:rsidRPr="00A848F7">
        <w:t xml:space="preserve">TCB </w:t>
      </w:r>
      <w:r w:rsidRPr="00A848F7">
        <w:rPr>
          <w:rFonts w:hint="eastAsia"/>
        </w:rPr>
        <w:t>的安全性可以被比较严格的分析和测试。</w:t>
      </w:r>
    </w:p>
    <w:p w:rsidR="005E2950" w:rsidRPr="00DC49E1" w:rsidRDefault="005E2950" w:rsidP="005E2950">
      <w:pPr>
        <w:rPr>
          <w:b/>
        </w:rPr>
      </w:pPr>
      <w:r w:rsidRPr="00DC49E1">
        <w:rPr>
          <w:rFonts w:hint="eastAsia"/>
          <w:b/>
        </w:rPr>
        <w:t>（</w:t>
      </w:r>
      <w:r w:rsidRPr="00DC49E1">
        <w:rPr>
          <w:b/>
        </w:rPr>
        <w:t xml:space="preserve">14)  </w:t>
      </w:r>
      <w:r w:rsidRPr="00DC49E1">
        <w:rPr>
          <w:rFonts w:hint="eastAsia"/>
          <w:b/>
        </w:rPr>
        <w:t>管理安全要求主要有哪些？并请选其中之一进行举例说明。</w:t>
      </w:r>
    </w:p>
    <w:p w:rsidR="00833A9B" w:rsidRDefault="005E2950" w:rsidP="005E2950">
      <w:r>
        <w:rPr>
          <w:rFonts w:hint="eastAsia"/>
        </w:rPr>
        <w:t>管理安全要求主要有：</w:t>
      </w:r>
    </w:p>
    <w:p w:rsidR="00833A9B" w:rsidRDefault="00833A9B" w:rsidP="005E2950">
      <w:r>
        <w:rPr>
          <w:rFonts w:hint="eastAsia"/>
        </w:rPr>
        <w:t>1、管理层的支持；</w:t>
      </w:r>
    </w:p>
    <w:p w:rsidR="00833A9B" w:rsidRDefault="00833A9B" w:rsidP="005E2950">
      <w:r>
        <w:rPr>
          <w:rFonts w:hint="eastAsia"/>
        </w:rPr>
        <w:lastRenderedPageBreak/>
        <w:t>2、定义安全要求；</w:t>
      </w:r>
      <w:bookmarkStart w:id="0" w:name="_GoBack"/>
      <w:bookmarkEnd w:id="0"/>
    </w:p>
    <w:p w:rsidR="00833A9B" w:rsidRDefault="00833A9B" w:rsidP="005E2950">
      <w:r>
        <w:rPr>
          <w:rFonts w:hint="eastAsia"/>
        </w:rPr>
        <w:t>3、保证人员安全；</w:t>
      </w:r>
    </w:p>
    <w:p w:rsidR="00833A9B" w:rsidRDefault="00833A9B" w:rsidP="005E2950">
      <w:r>
        <w:rPr>
          <w:rFonts w:hint="eastAsia"/>
        </w:rPr>
        <w:t>4、员工的安全意识和培训；</w:t>
      </w:r>
    </w:p>
    <w:p w:rsidR="005E2950" w:rsidRDefault="00833A9B" w:rsidP="005E2950">
      <w:r>
        <w:rPr>
          <w:rFonts w:hint="eastAsia"/>
        </w:rPr>
        <w:t>5、变更管理。</w:t>
      </w:r>
    </w:p>
    <w:p w:rsidR="00833A9B" w:rsidRPr="005E2950" w:rsidRDefault="00833A9B" w:rsidP="005E2950">
      <w:r>
        <w:rPr>
          <w:rFonts w:hint="eastAsia"/>
        </w:rPr>
        <w:t>举例说明：如果不能获得管理层的支持，那么工作无法开展，责任授权不明晰出现问题时不能找到合适的人选去解决，所需各类资源如经费实验设备等无法获得，如果需要其他部门的协助也不能够及时协商。</w:t>
      </w:r>
    </w:p>
    <w:p w:rsidR="005E2950" w:rsidRDefault="005E2950" w:rsidP="005E2950">
      <w:pPr>
        <w:rPr>
          <w:b/>
        </w:rPr>
      </w:pPr>
      <w:r w:rsidRPr="00DC49E1">
        <w:rPr>
          <w:b/>
        </w:rPr>
        <w:t xml:space="preserve">(15)  </w:t>
      </w:r>
      <w:r w:rsidRPr="00DC49E1">
        <w:rPr>
          <w:rFonts w:hint="eastAsia"/>
          <w:b/>
        </w:rPr>
        <w:t>调研有关用户帐户、口令管理的各种方法</w:t>
      </w:r>
      <w:r w:rsidRPr="00DC49E1">
        <w:rPr>
          <w:b/>
        </w:rPr>
        <w:t>,</w:t>
      </w:r>
      <w:r w:rsidRPr="00DC49E1">
        <w:rPr>
          <w:rFonts w:hint="eastAsia"/>
          <w:b/>
        </w:rPr>
        <w:t>以及帐户</w:t>
      </w:r>
      <w:r w:rsidRPr="00DC49E1">
        <w:rPr>
          <w:b/>
        </w:rPr>
        <w:t>/</w:t>
      </w:r>
      <w:r w:rsidRPr="00DC49E1">
        <w:rPr>
          <w:rFonts w:hint="eastAsia"/>
          <w:b/>
        </w:rPr>
        <w:t>口令泄露的案例</w:t>
      </w:r>
      <w:r w:rsidRPr="00DC49E1">
        <w:rPr>
          <w:b/>
        </w:rPr>
        <w:t xml:space="preserve">; </w:t>
      </w:r>
      <w:r w:rsidRPr="00DC49E1">
        <w:rPr>
          <w:rFonts w:hint="eastAsia"/>
          <w:b/>
        </w:rPr>
        <w:t>并尝试设计一个你认为是安全、合用的口令策略。</w:t>
      </w:r>
    </w:p>
    <w:p w:rsidR="00DC49E1" w:rsidRDefault="00E823A8" w:rsidP="005E2950">
      <w:r>
        <w:rPr>
          <w:rFonts w:hint="eastAsia"/>
        </w:rPr>
        <w:t>1.密码长度12位以上</w:t>
      </w:r>
    </w:p>
    <w:p w:rsidR="00E823A8" w:rsidRDefault="00E823A8" w:rsidP="005E2950">
      <w:r>
        <w:rPr>
          <w:rFonts w:hint="eastAsia"/>
        </w:rPr>
        <w:t>2.同时包含数字字母下划线或其他特殊字符</w:t>
      </w:r>
    </w:p>
    <w:p w:rsidR="00E823A8" w:rsidRPr="00E823A8" w:rsidRDefault="00E823A8" w:rsidP="005E2950">
      <w:pPr>
        <w:rPr>
          <w:rFonts w:hint="eastAsia"/>
        </w:rPr>
      </w:pPr>
      <w:r>
        <w:rPr>
          <w:rFonts w:hint="eastAsia"/>
        </w:rPr>
        <w:t>3.系统强制定期修改口令</w:t>
      </w:r>
    </w:p>
    <w:p w:rsidR="005E2950" w:rsidRPr="00DC49E1" w:rsidRDefault="005E2950" w:rsidP="005E2950">
      <w:pPr>
        <w:rPr>
          <w:b/>
        </w:rPr>
      </w:pPr>
      <w:r w:rsidRPr="00DC49E1">
        <w:rPr>
          <w:b/>
        </w:rPr>
        <w:t xml:space="preserve">(16)  </w:t>
      </w:r>
      <w:r w:rsidRPr="00DC49E1">
        <w:rPr>
          <w:rFonts w:hint="eastAsia"/>
          <w:b/>
        </w:rPr>
        <w:t>对于下面的访问控制矩阵，请写出其相应的访问控制列表和能力表。</w:t>
      </w:r>
    </w:p>
    <w:p w:rsidR="00C34193" w:rsidRDefault="00C34193" w:rsidP="005E2950">
      <w:pPr>
        <w:rPr>
          <w:rFonts w:hint="eastAsia"/>
        </w:rPr>
      </w:pPr>
      <w:r>
        <w:rPr>
          <w:rFonts w:hint="eastAsia"/>
        </w:rPr>
        <w:t>访问控制列表：</w:t>
      </w:r>
    </w:p>
    <w:p w:rsidR="00C34193" w:rsidRPr="00C34193" w:rsidRDefault="00C34193" w:rsidP="00C34193">
      <w:r w:rsidRPr="00DC49E1">
        <w:t>acl(</w:t>
      </w:r>
      <w:r w:rsidRPr="00DC49E1">
        <w:rPr>
          <w:rFonts w:hint="eastAsia"/>
        </w:rPr>
        <w:t>文件</w:t>
      </w:r>
      <w:r w:rsidRPr="00DC49E1">
        <w:t>1)={ (</w:t>
      </w:r>
      <w:r w:rsidRPr="00DC49E1">
        <w:rPr>
          <w:rFonts w:hint="eastAsia"/>
        </w:rPr>
        <w:t>进程</w:t>
      </w:r>
      <w:r w:rsidRPr="00DC49E1">
        <w:t>1</w:t>
      </w:r>
      <w:r w:rsidRPr="00DC49E1">
        <w:rPr>
          <w:rFonts w:hint="eastAsia"/>
        </w:rPr>
        <w:t>，</w:t>
      </w:r>
      <w:r w:rsidRPr="00DC49E1">
        <w:t>{</w:t>
      </w:r>
      <w:r w:rsidRPr="00DC49E1">
        <w:rPr>
          <w:rFonts w:hint="eastAsia"/>
        </w:rPr>
        <w:t>读</w:t>
      </w:r>
      <w:r w:rsidRPr="00DC49E1">
        <w:t>,</w:t>
      </w:r>
      <w:r w:rsidRPr="00DC49E1">
        <w:rPr>
          <w:rFonts w:hint="eastAsia"/>
        </w:rPr>
        <w:t>写</w:t>
      </w:r>
      <w:r w:rsidRPr="00DC49E1">
        <w:t>,</w:t>
      </w:r>
      <w:r w:rsidRPr="00DC49E1">
        <w:rPr>
          <w:rFonts w:hint="eastAsia"/>
        </w:rPr>
        <w:t>拥有</w:t>
      </w:r>
      <w:r w:rsidRPr="00DC49E1">
        <w:t>} ) }</w:t>
      </w:r>
    </w:p>
    <w:p w:rsidR="00C34193" w:rsidRPr="00C34193" w:rsidRDefault="00C34193" w:rsidP="00C34193">
      <w:r w:rsidRPr="00DC49E1">
        <w:t>acl(</w:t>
      </w:r>
      <w:r w:rsidRPr="00DC49E1">
        <w:rPr>
          <w:rFonts w:hint="eastAsia"/>
        </w:rPr>
        <w:t>文件</w:t>
      </w:r>
      <w:r w:rsidRPr="00DC49E1">
        <w:t>2)={ (</w:t>
      </w:r>
      <w:r w:rsidRPr="00DC49E1">
        <w:rPr>
          <w:rFonts w:hint="eastAsia"/>
        </w:rPr>
        <w:t>进程</w:t>
      </w:r>
      <w:r w:rsidRPr="00DC49E1">
        <w:t>2</w:t>
      </w:r>
      <w:r w:rsidRPr="00DC49E1">
        <w:rPr>
          <w:rFonts w:hint="eastAsia"/>
        </w:rPr>
        <w:t>，</w:t>
      </w:r>
      <w:r w:rsidRPr="00DC49E1">
        <w:t>{</w:t>
      </w:r>
      <w:r w:rsidRPr="00DC49E1">
        <w:rPr>
          <w:rFonts w:hint="eastAsia"/>
        </w:rPr>
        <w:t>读</w:t>
      </w:r>
      <w:r w:rsidRPr="00DC49E1">
        <w:t>,</w:t>
      </w:r>
      <w:r w:rsidRPr="00DC49E1">
        <w:rPr>
          <w:rFonts w:hint="eastAsia"/>
        </w:rPr>
        <w:t>写,拥有</w:t>
      </w:r>
      <w:r w:rsidRPr="00DC49E1">
        <w:t>} ) }</w:t>
      </w:r>
    </w:p>
    <w:p w:rsidR="00C34193" w:rsidRPr="00C34193" w:rsidRDefault="00C34193" w:rsidP="00C34193">
      <w:r w:rsidRPr="00DC49E1">
        <w:t>acl(</w:t>
      </w:r>
      <w:r w:rsidRPr="00DC49E1">
        <w:rPr>
          <w:rFonts w:hint="eastAsia"/>
        </w:rPr>
        <w:t>进程</w:t>
      </w:r>
      <w:r w:rsidRPr="00DC49E1">
        <w:t>1)={ (</w:t>
      </w:r>
      <w:r w:rsidRPr="00DC49E1">
        <w:rPr>
          <w:rFonts w:hint="eastAsia"/>
        </w:rPr>
        <w:t>进程</w:t>
      </w:r>
      <w:r w:rsidRPr="00DC49E1">
        <w:t>1</w:t>
      </w:r>
      <w:r w:rsidRPr="00DC49E1">
        <w:rPr>
          <w:rFonts w:hint="eastAsia"/>
        </w:rPr>
        <w:t>，</w:t>
      </w:r>
      <w:r w:rsidRPr="00DC49E1">
        <w:t>{</w:t>
      </w:r>
      <w:r w:rsidRPr="00DC49E1">
        <w:rPr>
          <w:rFonts w:hint="eastAsia"/>
        </w:rPr>
        <w:t>读</w:t>
      </w:r>
      <w:r w:rsidRPr="00DC49E1">
        <w:t>,</w:t>
      </w:r>
      <w:r w:rsidRPr="00DC49E1">
        <w:rPr>
          <w:rFonts w:hint="eastAsia"/>
        </w:rPr>
        <w:t>写</w:t>
      </w:r>
      <w:r w:rsidRPr="00DC49E1">
        <w:t>,</w:t>
      </w:r>
      <w:r w:rsidRPr="00DC49E1">
        <w:rPr>
          <w:rFonts w:hint="eastAsia"/>
        </w:rPr>
        <w:t>执行</w:t>
      </w:r>
      <w:r w:rsidRPr="00DC49E1">
        <w:t>,</w:t>
      </w:r>
      <w:r w:rsidRPr="00DC49E1">
        <w:rPr>
          <w:rFonts w:hint="eastAsia"/>
        </w:rPr>
        <w:t>拥有</w:t>
      </w:r>
      <w:r w:rsidRPr="00DC49E1">
        <w:t>} )</w:t>
      </w:r>
      <w:r w:rsidRPr="00DC49E1">
        <w:rPr>
          <w:rFonts w:hint="eastAsia"/>
        </w:rPr>
        <w:t xml:space="preserve"> </w:t>
      </w:r>
      <w:r w:rsidRPr="00DC49E1">
        <w:t>}</w:t>
      </w:r>
    </w:p>
    <w:p w:rsidR="00C34193" w:rsidRPr="00DC49E1" w:rsidRDefault="00C34193" w:rsidP="00C34193">
      <w:r w:rsidRPr="00DC49E1">
        <w:t>acl(</w:t>
      </w:r>
      <w:r w:rsidRPr="00DC49E1">
        <w:rPr>
          <w:rFonts w:hint="eastAsia"/>
        </w:rPr>
        <w:t>进程</w:t>
      </w:r>
      <w:r w:rsidRPr="00DC49E1">
        <w:t>2)={ (</w:t>
      </w:r>
      <w:r w:rsidRPr="00DC49E1">
        <w:rPr>
          <w:rFonts w:hint="eastAsia"/>
        </w:rPr>
        <w:t>进程</w:t>
      </w:r>
      <w:r w:rsidRPr="00DC49E1">
        <w:t>2</w:t>
      </w:r>
      <w:r w:rsidRPr="00DC49E1">
        <w:rPr>
          <w:rFonts w:hint="eastAsia"/>
        </w:rPr>
        <w:t>，</w:t>
      </w:r>
      <w:r w:rsidRPr="00DC49E1">
        <w:t>{</w:t>
      </w:r>
      <w:r w:rsidRPr="00DC49E1">
        <w:rPr>
          <w:rFonts w:hint="eastAsia"/>
        </w:rPr>
        <w:t>读</w:t>
      </w:r>
      <w:r w:rsidRPr="00DC49E1">
        <w:t>,</w:t>
      </w:r>
      <w:r w:rsidRPr="00DC49E1">
        <w:rPr>
          <w:rFonts w:hint="eastAsia"/>
        </w:rPr>
        <w:t>写</w:t>
      </w:r>
      <w:r w:rsidRPr="00DC49E1">
        <w:t>,</w:t>
      </w:r>
      <w:r w:rsidRPr="00DC49E1">
        <w:rPr>
          <w:rFonts w:hint="eastAsia"/>
        </w:rPr>
        <w:t>执行</w:t>
      </w:r>
      <w:r w:rsidRPr="00DC49E1">
        <w:t>,</w:t>
      </w:r>
      <w:r w:rsidRPr="00DC49E1">
        <w:rPr>
          <w:rFonts w:hint="eastAsia"/>
        </w:rPr>
        <w:t>拥有</w:t>
      </w:r>
      <w:r w:rsidRPr="00DC49E1">
        <w:t>})}</w:t>
      </w:r>
    </w:p>
    <w:p w:rsidR="00DC49E1" w:rsidRPr="00C34193" w:rsidRDefault="00DC49E1" w:rsidP="00C34193">
      <w:r w:rsidRPr="00DC49E1">
        <w:rPr>
          <w:rFonts w:hint="eastAsia"/>
        </w:rPr>
        <w:t>能力表：</w:t>
      </w:r>
    </w:p>
    <w:p w:rsidR="00C34193" w:rsidRPr="00DC49E1" w:rsidRDefault="00C34193" w:rsidP="00C34193">
      <w:r w:rsidRPr="00DC49E1">
        <w:t>cap(</w:t>
      </w:r>
      <w:r w:rsidRPr="00DC49E1">
        <w:rPr>
          <w:rFonts w:hint="eastAsia"/>
        </w:rPr>
        <w:t>进程</w:t>
      </w:r>
      <w:r w:rsidRPr="00DC49E1">
        <w:t>1)={ (</w:t>
      </w:r>
      <w:r w:rsidRPr="00DC49E1">
        <w:rPr>
          <w:rFonts w:hint="eastAsia"/>
        </w:rPr>
        <w:t>文件</w:t>
      </w:r>
      <w:r w:rsidRPr="00DC49E1">
        <w:t>1</w:t>
      </w:r>
      <w:r w:rsidRPr="00DC49E1">
        <w:rPr>
          <w:rFonts w:hint="eastAsia"/>
        </w:rPr>
        <w:t>，</w:t>
      </w:r>
      <w:r w:rsidRPr="00DC49E1">
        <w:t>{</w:t>
      </w:r>
      <w:r w:rsidRPr="00DC49E1">
        <w:rPr>
          <w:rFonts w:hint="eastAsia"/>
        </w:rPr>
        <w:t>读</w:t>
      </w:r>
      <w:r w:rsidRPr="00DC49E1">
        <w:t>,</w:t>
      </w:r>
      <w:r w:rsidRPr="00DC49E1">
        <w:rPr>
          <w:rFonts w:hint="eastAsia"/>
        </w:rPr>
        <w:t>写</w:t>
      </w:r>
      <w:r w:rsidRPr="00DC49E1">
        <w:t>,</w:t>
      </w:r>
      <w:r w:rsidRPr="00DC49E1">
        <w:rPr>
          <w:rFonts w:hint="eastAsia"/>
        </w:rPr>
        <w:t>拥有</w:t>
      </w:r>
      <w:r w:rsidRPr="00DC49E1">
        <w:t>})</w:t>
      </w:r>
      <w:r w:rsidRPr="00DC49E1">
        <w:rPr>
          <w:rFonts w:hint="eastAsia"/>
        </w:rPr>
        <w:t>，</w:t>
      </w:r>
      <w:r w:rsidRPr="00DC49E1">
        <w:t>(</w:t>
      </w:r>
      <w:r w:rsidRPr="00DC49E1">
        <w:rPr>
          <w:rFonts w:hint="eastAsia"/>
        </w:rPr>
        <w:t>进程</w:t>
      </w:r>
      <w:r w:rsidRPr="00DC49E1">
        <w:t>1</w:t>
      </w:r>
      <w:r w:rsidRPr="00DC49E1">
        <w:rPr>
          <w:rFonts w:hint="eastAsia"/>
        </w:rPr>
        <w:t>，</w:t>
      </w:r>
      <w:r w:rsidRPr="00DC49E1">
        <w:t>{</w:t>
      </w:r>
      <w:r w:rsidRPr="00DC49E1">
        <w:rPr>
          <w:rFonts w:hint="eastAsia"/>
        </w:rPr>
        <w:t>读</w:t>
      </w:r>
      <w:r w:rsidRPr="00DC49E1">
        <w:t>,</w:t>
      </w:r>
      <w:r w:rsidRPr="00DC49E1">
        <w:rPr>
          <w:rFonts w:hint="eastAsia"/>
        </w:rPr>
        <w:t>写</w:t>
      </w:r>
      <w:r w:rsidRPr="00DC49E1">
        <w:t>,</w:t>
      </w:r>
      <w:r w:rsidRPr="00DC49E1">
        <w:rPr>
          <w:rFonts w:hint="eastAsia"/>
        </w:rPr>
        <w:t>执行</w:t>
      </w:r>
      <w:r w:rsidRPr="00DC49E1">
        <w:t>,</w:t>
      </w:r>
      <w:r w:rsidRPr="00DC49E1">
        <w:rPr>
          <w:rFonts w:hint="eastAsia"/>
        </w:rPr>
        <w:t>拥有</w:t>
      </w:r>
      <w:r w:rsidRPr="00DC49E1">
        <w:t>} )</w:t>
      </w:r>
      <w:r w:rsidRPr="00DC49E1">
        <w:rPr>
          <w:rFonts w:hint="eastAsia"/>
        </w:rPr>
        <w:t xml:space="preserve"> </w:t>
      </w:r>
      <w:r w:rsidRPr="00DC49E1">
        <w:t>}</w:t>
      </w:r>
    </w:p>
    <w:p w:rsidR="00C34193" w:rsidRPr="00DC49E1" w:rsidRDefault="00C34193" w:rsidP="005E2950">
      <w:pPr>
        <w:rPr>
          <w:rFonts w:hint="eastAsia"/>
        </w:rPr>
      </w:pPr>
      <w:r w:rsidRPr="00DC49E1">
        <w:t>cap(</w:t>
      </w:r>
      <w:r w:rsidRPr="00DC49E1">
        <w:rPr>
          <w:rFonts w:hint="eastAsia"/>
        </w:rPr>
        <w:t>进程</w:t>
      </w:r>
      <w:r w:rsidRPr="00DC49E1">
        <w:t>2)={ (</w:t>
      </w:r>
      <w:r w:rsidRPr="00DC49E1">
        <w:rPr>
          <w:rFonts w:hint="eastAsia"/>
        </w:rPr>
        <w:t>文件</w:t>
      </w:r>
      <w:r w:rsidRPr="00DC49E1">
        <w:t>2</w:t>
      </w:r>
      <w:r w:rsidRPr="00DC49E1">
        <w:rPr>
          <w:rFonts w:hint="eastAsia"/>
        </w:rPr>
        <w:t>，</w:t>
      </w:r>
      <w:r w:rsidRPr="00DC49E1">
        <w:t>{</w:t>
      </w:r>
      <w:r w:rsidRPr="00DC49E1">
        <w:rPr>
          <w:rFonts w:hint="eastAsia"/>
        </w:rPr>
        <w:t>读,写,拥有</w:t>
      </w:r>
      <w:r w:rsidRPr="00DC49E1">
        <w:t>})</w:t>
      </w:r>
      <w:r w:rsidRPr="00DC49E1">
        <w:rPr>
          <w:rFonts w:hint="eastAsia"/>
        </w:rPr>
        <w:t>，</w:t>
      </w:r>
      <w:r w:rsidRPr="00DC49E1">
        <w:t>(</w:t>
      </w:r>
      <w:r w:rsidRPr="00DC49E1">
        <w:rPr>
          <w:rFonts w:hint="eastAsia"/>
        </w:rPr>
        <w:t>进程</w:t>
      </w:r>
      <w:r w:rsidRPr="00DC49E1">
        <w:t>2</w:t>
      </w:r>
      <w:r w:rsidRPr="00DC49E1">
        <w:rPr>
          <w:rFonts w:hint="eastAsia"/>
        </w:rPr>
        <w:t>，</w:t>
      </w:r>
      <w:r w:rsidRPr="00DC49E1">
        <w:t>{</w:t>
      </w:r>
      <w:r w:rsidRPr="00DC49E1">
        <w:rPr>
          <w:rFonts w:hint="eastAsia"/>
        </w:rPr>
        <w:t>读</w:t>
      </w:r>
      <w:r w:rsidRPr="00DC49E1">
        <w:t>,</w:t>
      </w:r>
      <w:r w:rsidRPr="00DC49E1">
        <w:rPr>
          <w:rFonts w:hint="eastAsia"/>
        </w:rPr>
        <w:t>写</w:t>
      </w:r>
      <w:r w:rsidRPr="00DC49E1">
        <w:t>,</w:t>
      </w:r>
      <w:r w:rsidRPr="00DC49E1">
        <w:rPr>
          <w:rFonts w:hint="eastAsia"/>
        </w:rPr>
        <w:t>执行</w:t>
      </w:r>
      <w:r w:rsidRPr="00DC49E1">
        <w:t>,</w:t>
      </w:r>
      <w:r w:rsidRPr="00DC49E1">
        <w:rPr>
          <w:rFonts w:hint="eastAsia"/>
        </w:rPr>
        <w:t>拥有</w:t>
      </w:r>
      <w:r w:rsidRPr="00DC49E1">
        <w:t>})}</w:t>
      </w:r>
    </w:p>
    <w:p w:rsidR="00C34193" w:rsidRPr="00DC49E1" w:rsidRDefault="00C34193" w:rsidP="00DC49E1">
      <w:pPr>
        <w:rPr>
          <w:b/>
        </w:rPr>
      </w:pPr>
      <w:r w:rsidRPr="00DC49E1">
        <w:rPr>
          <w:b/>
        </w:rPr>
        <w:t xml:space="preserve">(17)  </w:t>
      </w:r>
      <w:r w:rsidRPr="00DC49E1">
        <w:rPr>
          <w:rFonts w:hint="eastAsia"/>
          <w:b/>
        </w:rPr>
        <w:t>请简要阐述一下安全保障的作用，及其分类。</w:t>
      </w:r>
    </w:p>
    <w:p w:rsidR="00C34193" w:rsidRPr="00DC49E1" w:rsidRDefault="00C34193" w:rsidP="00DC49E1">
      <w:r w:rsidRPr="00DC49E1">
        <w:rPr>
          <w:rFonts w:hint="eastAsia"/>
        </w:rPr>
        <w:t>作用：</w:t>
      </w:r>
    </w:p>
    <w:p w:rsidR="00C34193" w:rsidRPr="00DC49E1" w:rsidRDefault="00C34193" w:rsidP="00DC49E1">
      <w:r w:rsidRPr="00DC49E1">
        <w:rPr>
          <w:rFonts w:hint="eastAsia"/>
        </w:rPr>
        <w:tab/>
        <w:t>安全保障是对实体满足安全需求的信心，依赖于应用保障技术提供的专门证据。</w:t>
      </w:r>
    </w:p>
    <w:p w:rsidR="00C34193" w:rsidRPr="00DC49E1" w:rsidRDefault="00C34193" w:rsidP="00DC49E1">
      <w:r w:rsidRPr="00DC49E1">
        <w:rPr>
          <w:rFonts w:hint="eastAsia"/>
        </w:rPr>
        <w:tab/>
        <w:t>安全保障是通过使用多种多样的安全保障技术而获得，这些安全保障技术提供证据来说明系统的实现和运行能够满足安全策略中定义的安全需求。</w:t>
      </w:r>
    </w:p>
    <w:p w:rsidR="00C34193" w:rsidRPr="00DC49E1" w:rsidRDefault="00C34193" w:rsidP="00DC49E1">
      <w:r w:rsidRPr="00DC49E1">
        <w:rPr>
          <w:rFonts w:hint="eastAsia"/>
        </w:rPr>
        <w:t>分类：策略保障、设计保障、实现保障、运维保障</w:t>
      </w:r>
    </w:p>
    <w:p w:rsidR="00C34193" w:rsidRPr="00DC49E1" w:rsidRDefault="00C34193" w:rsidP="00DC49E1">
      <w:pPr>
        <w:rPr>
          <w:b/>
        </w:rPr>
      </w:pPr>
      <w:r w:rsidRPr="00DC49E1">
        <w:rPr>
          <w:b/>
        </w:rPr>
        <w:t>(18) GB 17859</w:t>
      </w:r>
      <w:r w:rsidRPr="00DC49E1">
        <w:rPr>
          <w:rFonts w:hint="eastAsia"/>
          <w:b/>
        </w:rPr>
        <w:t>将计算机信息系统安全保护能力分为哪几个等级？并选择其中之一，简要介绍其主要安全功能要求。</w:t>
      </w:r>
    </w:p>
    <w:p w:rsidR="00C34193" w:rsidRPr="00DC49E1" w:rsidRDefault="00C34193" w:rsidP="00DC49E1">
      <w:r w:rsidRPr="00DC49E1">
        <w:rPr>
          <w:rFonts w:hint="eastAsia"/>
        </w:rPr>
        <w:t>等级：</w:t>
      </w:r>
    </w:p>
    <w:p w:rsidR="00C34193" w:rsidRPr="00991AF0" w:rsidRDefault="00C34193" w:rsidP="00C34193">
      <w:r w:rsidRPr="00991AF0">
        <w:rPr>
          <w:rFonts w:hint="eastAsia"/>
        </w:rPr>
        <w:tab/>
        <w:t>第一级</w:t>
      </w:r>
      <w:r w:rsidRPr="00991AF0">
        <w:t xml:space="preserve">: </w:t>
      </w:r>
      <w:r w:rsidRPr="00991AF0">
        <w:rPr>
          <w:rFonts w:hint="eastAsia"/>
        </w:rPr>
        <w:t>用户自主保护级</w:t>
      </w:r>
    </w:p>
    <w:p w:rsidR="00C34193" w:rsidRPr="00991AF0" w:rsidRDefault="00C34193" w:rsidP="00C34193">
      <w:r>
        <w:rPr>
          <w:rFonts w:hint="eastAsia"/>
        </w:rPr>
        <w:tab/>
      </w:r>
      <w:r w:rsidRPr="00991AF0">
        <w:rPr>
          <w:rFonts w:hint="eastAsia"/>
        </w:rPr>
        <w:t>第二级</w:t>
      </w:r>
      <w:r w:rsidRPr="00991AF0">
        <w:t xml:space="preserve">: </w:t>
      </w:r>
      <w:r w:rsidRPr="00991AF0">
        <w:rPr>
          <w:rFonts w:hint="eastAsia"/>
        </w:rPr>
        <w:t>系统审计保护级</w:t>
      </w:r>
    </w:p>
    <w:p w:rsidR="00C34193" w:rsidRDefault="00C34193" w:rsidP="00C34193">
      <w:r>
        <w:rPr>
          <w:rFonts w:hint="eastAsia"/>
        </w:rPr>
        <w:tab/>
      </w:r>
      <w:r w:rsidRPr="00991AF0">
        <w:rPr>
          <w:rFonts w:hint="eastAsia"/>
        </w:rPr>
        <w:t>第三级</w:t>
      </w:r>
      <w:r w:rsidRPr="00991AF0">
        <w:t xml:space="preserve">: </w:t>
      </w:r>
      <w:r w:rsidRPr="00991AF0">
        <w:rPr>
          <w:rFonts w:hint="eastAsia"/>
        </w:rPr>
        <w:t>安全标记保护级</w:t>
      </w:r>
    </w:p>
    <w:p w:rsidR="00C34193" w:rsidRDefault="00C34193" w:rsidP="00C34193">
      <w:r>
        <w:rPr>
          <w:rFonts w:hint="eastAsia"/>
        </w:rPr>
        <w:tab/>
      </w:r>
      <w:r w:rsidRPr="00991AF0">
        <w:rPr>
          <w:rFonts w:hint="eastAsia"/>
        </w:rPr>
        <w:t>第四级</w:t>
      </w:r>
      <w:r w:rsidRPr="00991AF0">
        <w:t xml:space="preserve">: </w:t>
      </w:r>
      <w:r w:rsidRPr="00991AF0">
        <w:rPr>
          <w:rFonts w:hint="eastAsia"/>
        </w:rPr>
        <w:t>结构化保护级</w:t>
      </w:r>
    </w:p>
    <w:p w:rsidR="00C34193" w:rsidRPr="00991AF0" w:rsidRDefault="00C34193" w:rsidP="00C34193">
      <w:r>
        <w:rPr>
          <w:rFonts w:hint="eastAsia"/>
        </w:rPr>
        <w:t>（</w:t>
      </w:r>
      <w:r w:rsidRPr="009439B4">
        <w:rPr>
          <w:rFonts w:hint="eastAsia"/>
        </w:rPr>
        <w:t>本级的计算机信息系统可信计算基建立于一个明确定义的形式化安全策略模型之上，要求将第三级系统中的自主和强制访问控制扩展到所有主体与客体。此外，还要考虑隐蔽通道。本级的计算机信息系统可信计算基必须结构化为关键保护元素和非关键保护元素。计算机信息系统可信计算基的接口也必须明确定义，使其设计与实现能经受更充分的测试和更完整的复审。加强了鉴别机制；支持系统管理员和操作员的职能；提供可信设施管理；增强了配置管理控制。系统具有相当的抗渗透能力。</w:t>
      </w:r>
      <w:r>
        <w:rPr>
          <w:rFonts w:hint="eastAsia"/>
        </w:rPr>
        <w:t>）</w:t>
      </w:r>
    </w:p>
    <w:p w:rsidR="00C34193" w:rsidRPr="00991AF0" w:rsidRDefault="00C34193" w:rsidP="00C34193">
      <w:r>
        <w:rPr>
          <w:rFonts w:hint="eastAsia"/>
        </w:rPr>
        <w:tab/>
      </w:r>
      <w:r w:rsidRPr="00991AF0">
        <w:rPr>
          <w:rFonts w:hint="eastAsia"/>
        </w:rPr>
        <w:t>第五级</w:t>
      </w:r>
      <w:r w:rsidRPr="00991AF0">
        <w:t xml:space="preserve">: </w:t>
      </w:r>
      <w:r w:rsidRPr="00991AF0">
        <w:rPr>
          <w:rFonts w:hint="eastAsia"/>
        </w:rPr>
        <w:t>访问验证保护级</w:t>
      </w:r>
    </w:p>
    <w:p w:rsidR="00C34193" w:rsidRPr="00DC49E1" w:rsidRDefault="00C34193" w:rsidP="00DC49E1">
      <w:pPr>
        <w:rPr>
          <w:b/>
        </w:rPr>
      </w:pPr>
      <w:r w:rsidRPr="00DC49E1">
        <w:rPr>
          <w:b/>
        </w:rPr>
        <w:t>(19) GB/T 18336</w:t>
      </w:r>
      <w:r w:rsidRPr="00DC49E1">
        <w:rPr>
          <w:rFonts w:hint="eastAsia"/>
          <w:b/>
        </w:rPr>
        <w:t>（</w:t>
      </w:r>
      <w:r w:rsidRPr="00DC49E1">
        <w:rPr>
          <w:b/>
        </w:rPr>
        <w:t>CC</w:t>
      </w:r>
      <w:r w:rsidRPr="00DC49E1">
        <w:rPr>
          <w:rFonts w:hint="eastAsia"/>
          <w:b/>
        </w:rPr>
        <w:t>）将安全等级分为哪几个评估保证级？并选择其中之一，简要介绍其主要的安全保障（保证）能力要求。</w:t>
      </w:r>
      <w:r w:rsidRPr="00DC49E1">
        <w:rPr>
          <w:b/>
        </w:rPr>
        <w:t xml:space="preserve"> </w:t>
      </w:r>
      <w:r w:rsidRPr="00DC49E1">
        <w:rPr>
          <w:rFonts w:hint="eastAsia"/>
          <w:b/>
        </w:rPr>
        <w:tab/>
      </w:r>
    </w:p>
    <w:p w:rsidR="00C34193" w:rsidRPr="00DC49E1" w:rsidRDefault="00C34193" w:rsidP="00DC49E1">
      <w:r w:rsidRPr="00DC49E1">
        <w:rPr>
          <w:rFonts w:hint="eastAsia"/>
        </w:rPr>
        <w:t>等级：</w:t>
      </w:r>
    </w:p>
    <w:p w:rsidR="00C34193" w:rsidRPr="00991AF0" w:rsidRDefault="00C34193" w:rsidP="00C34193">
      <w:r>
        <w:rPr>
          <w:rFonts w:hint="eastAsia"/>
        </w:rPr>
        <w:lastRenderedPageBreak/>
        <w:tab/>
      </w:r>
      <w:r w:rsidRPr="00991AF0">
        <w:rPr>
          <w:rFonts w:hint="eastAsia"/>
        </w:rPr>
        <w:t>EAL1：功能测试</w:t>
      </w:r>
      <w:r>
        <w:rPr>
          <w:rFonts w:hint="eastAsia"/>
        </w:rPr>
        <w:t>：</w:t>
      </w:r>
      <w:r w:rsidRPr="00991AF0">
        <w:rPr>
          <w:rFonts w:hint="eastAsia"/>
        </w:rPr>
        <w:t xml:space="preserve"> </w:t>
      </w:r>
    </w:p>
    <w:p w:rsidR="00C34193" w:rsidRPr="00991AF0" w:rsidRDefault="00C34193" w:rsidP="00C34193">
      <w:r w:rsidRPr="00991AF0">
        <w:rPr>
          <w:rFonts w:hint="eastAsia"/>
        </w:rPr>
        <w:t xml:space="preserve">  </w:t>
      </w:r>
      <w:r>
        <w:rPr>
          <w:rFonts w:hint="eastAsia"/>
        </w:rPr>
        <w:tab/>
      </w:r>
      <w:r w:rsidRPr="00991AF0">
        <w:rPr>
          <w:rFonts w:hint="eastAsia"/>
        </w:rPr>
        <w:t>EAL2：结构测试</w:t>
      </w:r>
    </w:p>
    <w:p w:rsidR="00C34193" w:rsidRPr="00991AF0" w:rsidRDefault="00C34193" w:rsidP="00DC49E1">
      <w:r w:rsidRPr="00991AF0">
        <w:rPr>
          <w:rFonts w:hint="eastAsia"/>
        </w:rPr>
        <w:t xml:space="preserve">    通过利用功能和接口的规范、指导性文档和TOE的高层设计，对安全功能进行分析来提供保证，以理解安全行为。</w:t>
      </w:r>
    </w:p>
    <w:p w:rsidR="00C34193" w:rsidRPr="00991AF0" w:rsidRDefault="00C34193" w:rsidP="00C34193">
      <w:r>
        <w:rPr>
          <w:rFonts w:hint="eastAsia"/>
        </w:rPr>
        <w:tab/>
      </w:r>
      <w:r w:rsidRPr="00991AF0">
        <w:rPr>
          <w:rFonts w:hint="eastAsia"/>
        </w:rPr>
        <w:t>EAL3：系统地测试和检查</w:t>
      </w:r>
    </w:p>
    <w:p w:rsidR="00C34193" w:rsidRDefault="00C34193" w:rsidP="00C34193">
      <w:r>
        <w:rPr>
          <w:rFonts w:hint="eastAsia"/>
        </w:rPr>
        <w:t xml:space="preserve">  </w:t>
      </w:r>
      <w:r w:rsidRPr="00991AF0">
        <w:rPr>
          <w:rFonts w:hint="eastAsia"/>
        </w:rPr>
        <w:t xml:space="preserve"> </w:t>
      </w:r>
      <w:r>
        <w:rPr>
          <w:rFonts w:hint="eastAsia"/>
        </w:rPr>
        <w:tab/>
      </w:r>
      <w:r w:rsidRPr="00991AF0">
        <w:t>EAL4</w:t>
      </w:r>
      <w:r w:rsidRPr="00991AF0">
        <w:rPr>
          <w:rFonts w:hint="eastAsia"/>
        </w:rPr>
        <w:t>：系统地设计、测试和复查</w:t>
      </w:r>
    </w:p>
    <w:p w:rsidR="00C34193" w:rsidRDefault="00C34193" w:rsidP="00C34193">
      <w:r>
        <w:rPr>
          <w:rFonts w:hint="eastAsia"/>
        </w:rPr>
        <w:tab/>
      </w:r>
      <w:r w:rsidRPr="00991AF0">
        <w:t>EAL5</w:t>
      </w:r>
      <w:r w:rsidRPr="00991AF0">
        <w:rPr>
          <w:rFonts w:hint="eastAsia"/>
        </w:rPr>
        <w:t>：半形式化设计和测试</w:t>
      </w:r>
    </w:p>
    <w:p w:rsidR="00C34193" w:rsidRPr="00991AF0" w:rsidRDefault="00C34193" w:rsidP="00C34193">
      <w:r>
        <w:rPr>
          <w:rFonts w:hint="eastAsia"/>
        </w:rPr>
        <w:tab/>
      </w:r>
      <w:r w:rsidRPr="00991AF0">
        <w:t>EAL6</w:t>
      </w:r>
      <w:r w:rsidRPr="00991AF0">
        <w:rPr>
          <w:rFonts w:hint="eastAsia"/>
        </w:rPr>
        <w:t>：半形式化验证的设计和测试</w:t>
      </w:r>
    </w:p>
    <w:p w:rsidR="00C34193" w:rsidRPr="00991AF0" w:rsidRDefault="00C34193" w:rsidP="00C34193">
      <w:r w:rsidRPr="00991AF0">
        <w:t xml:space="preserve">  </w:t>
      </w:r>
      <w:r>
        <w:rPr>
          <w:rFonts w:hint="eastAsia"/>
        </w:rPr>
        <w:tab/>
      </w:r>
      <w:r w:rsidRPr="00991AF0">
        <w:t>EAL7</w:t>
      </w:r>
      <w:r w:rsidRPr="00991AF0">
        <w:rPr>
          <w:rFonts w:hint="eastAsia"/>
        </w:rPr>
        <w:t>：形式化验证的设计和测试</w:t>
      </w:r>
    </w:p>
    <w:p w:rsidR="00C34193" w:rsidRPr="00856A6D" w:rsidRDefault="00C34193" w:rsidP="00C34193"/>
    <w:p w:rsidR="00793BBB" w:rsidRPr="00C34193" w:rsidRDefault="00793BBB" w:rsidP="00793BBB"/>
    <w:sectPr w:rsidR="00793BBB" w:rsidRPr="00C341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675" w:rsidRDefault="00192675" w:rsidP="00C34193">
      <w:r>
        <w:separator/>
      </w:r>
    </w:p>
  </w:endnote>
  <w:endnote w:type="continuationSeparator" w:id="0">
    <w:p w:rsidR="00192675" w:rsidRDefault="00192675" w:rsidP="00C34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675" w:rsidRDefault="00192675" w:rsidP="00C34193">
      <w:r>
        <w:separator/>
      </w:r>
    </w:p>
  </w:footnote>
  <w:footnote w:type="continuationSeparator" w:id="0">
    <w:p w:rsidR="00192675" w:rsidRDefault="00192675" w:rsidP="00C3419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C57D9"/>
    <w:multiLevelType w:val="hybridMultilevel"/>
    <w:tmpl w:val="E424F870"/>
    <w:lvl w:ilvl="0" w:tplc="74D6ADDA">
      <w:start w:val="10"/>
      <w:numFmt w:val="decimal"/>
      <w:lvlText w:val="(%1)"/>
      <w:lvlJc w:val="left"/>
      <w:pPr>
        <w:tabs>
          <w:tab w:val="num" w:pos="720"/>
        </w:tabs>
        <w:ind w:left="720" w:hanging="360"/>
      </w:pPr>
    </w:lvl>
    <w:lvl w:ilvl="1" w:tplc="0E6CB7A0" w:tentative="1">
      <w:start w:val="1"/>
      <w:numFmt w:val="decimal"/>
      <w:lvlText w:val="(%2)"/>
      <w:lvlJc w:val="left"/>
      <w:pPr>
        <w:tabs>
          <w:tab w:val="num" w:pos="1440"/>
        </w:tabs>
        <w:ind w:left="1440" w:hanging="360"/>
      </w:pPr>
    </w:lvl>
    <w:lvl w:ilvl="2" w:tplc="13DE8856" w:tentative="1">
      <w:start w:val="1"/>
      <w:numFmt w:val="decimal"/>
      <w:lvlText w:val="(%3)"/>
      <w:lvlJc w:val="left"/>
      <w:pPr>
        <w:tabs>
          <w:tab w:val="num" w:pos="2160"/>
        </w:tabs>
        <w:ind w:left="2160" w:hanging="360"/>
      </w:pPr>
    </w:lvl>
    <w:lvl w:ilvl="3" w:tplc="D8AE311C" w:tentative="1">
      <w:start w:val="1"/>
      <w:numFmt w:val="decimal"/>
      <w:lvlText w:val="(%4)"/>
      <w:lvlJc w:val="left"/>
      <w:pPr>
        <w:tabs>
          <w:tab w:val="num" w:pos="2880"/>
        </w:tabs>
        <w:ind w:left="2880" w:hanging="360"/>
      </w:pPr>
    </w:lvl>
    <w:lvl w:ilvl="4" w:tplc="4DECA50C" w:tentative="1">
      <w:start w:val="1"/>
      <w:numFmt w:val="decimal"/>
      <w:lvlText w:val="(%5)"/>
      <w:lvlJc w:val="left"/>
      <w:pPr>
        <w:tabs>
          <w:tab w:val="num" w:pos="3600"/>
        </w:tabs>
        <w:ind w:left="3600" w:hanging="360"/>
      </w:pPr>
    </w:lvl>
    <w:lvl w:ilvl="5" w:tplc="576AF71A" w:tentative="1">
      <w:start w:val="1"/>
      <w:numFmt w:val="decimal"/>
      <w:lvlText w:val="(%6)"/>
      <w:lvlJc w:val="left"/>
      <w:pPr>
        <w:tabs>
          <w:tab w:val="num" w:pos="4320"/>
        </w:tabs>
        <w:ind w:left="4320" w:hanging="360"/>
      </w:pPr>
    </w:lvl>
    <w:lvl w:ilvl="6" w:tplc="33688E5C" w:tentative="1">
      <w:start w:val="1"/>
      <w:numFmt w:val="decimal"/>
      <w:lvlText w:val="(%7)"/>
      <w:lvlJc w:val="left"/>
      <w:pPr>
        <w:tabs>
          <w:tab w:val="num" w:pos="5040"/>
        </w:tabs>
        <w:ind w:left="5040" w:hanging="360"/>
      </w:pPr>
    </w:lvl>
    <w:lvl w:ilvl="7" w:tplc="FCB071CC" w:tentative="1">
      <w:start w:val="1"/>
      <w:numFmt w:val="decimal"/>
      <w:lvlText w:val="(%8)"/>
      <w:lvlJc w:val="left"/>
      <w:pPr>
        <w:tabs>
          <w:tab w:val="num" w:pos="5760"/>
        </w:tabs>
        <w:ind w:left="5760" w:hanging="360"/>
      </w:pPr>
    </w:lvl>
    <w:lvl w:ilvl="8" w:tplc="42900E9A" w:tentative="1">
      <w:start w:val="1"/>
      <w:numFmt w:val="decimal"/>
      <w:lvlText w:val="(%9)"/>
      <w:lvlJc w:val="left"/>
      <w:pPr>
        <w:tabs>
          <w:tab w:val="num" w:pos="6480"/>
        </w:tabs>
        <w:ind w:left="6480" w:hanging="360"/>
      </w:pPr>
    </w:lvl>
  </w:abstractNum>
  <w:abstractNum w:abstractNumId="1" w15:restartNumberingAfterBreak="0">
    <w:nsid w:val="1E9167B3"/>
    <w:multiLevelType w:val="hybridMultilevel"/>
    <w:tmpl w:val="2BF83FE4"/>
    <w:lvl w:ilvl="0" w:tplc="6F28CE74">
      <w:start w:val="12"/>
      <w:numFmt w:val="decimal"/>
      <w:lvlText w:val="(%1)"/>
      <w:lvlJc w:val="left"/>
      <w:pPr>
        <w:tabs>
          <w:tab w:val="num" w:pos="720"/>
        </w:tabs>
        <w:ind w:left="720" w:hanging="360"/>
      </w:pPr>
    </w:lvl>
    <w:lvl w:ilvl="1" w:tplc="B81697C8" w:tentative="1">
      <w:start w:val="1"/>
      <w:numFmt w:val="decimal"/>
      <w:lvlText w:val="(%2)"/>
      <w:lvlJc w:val="left"/>
      <w:pPr>
        <w:tabs>
          <w:tab w:val="num" w:pos="1440"/>
        </w:tabs>
        <w:ind w:left="1440" w:hanging="360"/>
      </w:pPr>
    </w:lvl>
    <w:lvl w:ilvl="2" w:tplc="42B6A5FA" w:tentative="1">
      <w:start w:val="1"/>
      <w:numFmt w:val="decimal"/>
      <w:lvlText w:val="(%3)"/>
      <w:lvlJc w:val="left"/>
      <w:pPr>
        <w:tabs>
          <w:tab w:val="num" w:pos="2160"/>
        </w:tabs>
        <w:ind w:left="2160" w:hanging="360"/>
      </w:pPr>
    </w:lvl>
    <w:lvl w:ilvl="3" w:tplc="09E8731C" w:tentative="1">
      <w:start w:val="1"/>
      <w:numFmt w:val="decimal"/>
      <w:lvlText w:val="(%4)"/>
      <w:lvlJc w:val="left"/>
      <w:pPr>
        <w:tabs>
          <w:tab w:val="num" w:pos="2880"/>
        </w:tabs>
        <w:ind w:left="2880" w:hanging="360"/>
      </w:pPr>
    </w:lvl>
    <w:lvl w:ilvl="4" w:tplc="71C86614" w:tentative="1">
      <w:start w:val="1"/>
      <w:numFmt w:val="decimal"/>
      <w:lvlText w:val="(%5)"/>
      <w:lvlJc w:val="left"/>
      <w:pPr>
        <w:tabs>
          <w:tab w:val="num" w:pos="3600"/>
        </w:tabs>
        <w:ind w:left="3600" w:hanging="360"/>
      </w:pPr>
    </w:lvl>
    <w:lvl w:ilvl="5" w:tplc="9AA40340" w:tentative="1">
      <w:start w:val="1"/>
      <w:numFmt w:val="decimal"/>
      <w:lvlText w:val="(%6)"/>
      <w:lvlJc w:val="left"/>
      <w:pPr>
        <w:tabs>
          <w:tab w:val="num" w:pos="4320"/>
        </w:tabs>
        <w:ind w:left="4320" w:hanging="360"/>
      </w:pPr>
    </w:lvl>
    <w:lvl w:ilvl="6" w:tplc="0D54B37C" w:tentative="1">
      <w:start w:val="1"/>
      <w:numFmt w:val="decimal"/>
      <w:lvlText w:val="(%7)"/>
      <w:lvlJc w:val="left"/>
      <w:pPr>
        <w:tabs>
          <w:tab w:val="num" w:pos="5040"/>
        </w:tabs>
        <w:ind w:left="5040" w:hanging="360"/>
      </w:pPr>
    </w:lvl>
    <w:lvl w:ilvl="7" w:tplc="2758D7DA" w:tentative="1">
      <w:start w:val="1"/>
      <w:numFmt w:val="decimal"/>
      <w:lvlText w:val="(%8)"/>
      <w:lvlJc w:val="left"/>
      <w:pPr>
        <w:tabs>
          <w:tab w:val="num" w:pos="5760"/>
        </w:tabs>
        <w:ind w:left="5760" w:hanging="360"/>
      </w:pPr>
    </w:lvl>
    <w:lvl w:ilvl="8" w:tplc="5FFCE46A"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8C6"/>
    <w:rsid w:val="000F28C6"/>
    <w:rsid w:val="00192675"/>
    <w:rsid w:val="004C540C"/>
    <w:rsid w:val="005E2950"/>
    <w:rsid w:val="006761AB"/>
    <w:rsid w:val="00793BBB"/>
    <w:rsid w:val="007A5AD7"/>
    <w:rsid w:val="007D59A7"/>
    <w:rsid w:val="00810D0C"/>
    <w:rsid w:val="00833A9B"/>
    <w:rsid w:val="00A848F7"/>
    <w:rsid w:val="00C34193"/>
    <w:rsid w:val="00DC49E1"/>
    <w:rsid w:val="00E82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9597E"/>
  <w15:chartTrackingRefBased/>
  <w15:docId w15:val="{C5CCCE81-BC40-4AB9-BF10-E0C3727E0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F28C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A5AD7"/>
    <w:rPr>
      <w:color w:val="0000FF"/>
      <w:u w:val="single"/>
    </w:rPr>
  </w:style>
  <w:style w:type="paragraph" w:styleId="a5">
    <w:name w:val="header"/>
    <w:basedOn w:val="a"/>
    <w:link w:val="a6"/>
    <w:uiPriority w:val="99"/>
    <w:unhideWhenUsed/>
    <w:rsid w:val="00C3419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34193"/>
    <w:rPr>
      <w:sz w:val="18"/>
      <w:szCs w:val="18"/>
    </w:rPr>
  </w:style>
  <w:style w:type="paragraph" w:styleId="a7">
    <w:name w:val="footer"/>
    <w:basedOn w:val="a"/>
    <w:link w:val="a8"/>
    <w:uiPriority w:val="99"/>
    <w:unhideWhenUsed/>
    <w:rsid w:val="00C34193"/>
    <w:pPr>
      <w:tabs>
        <w:tab w:val="center" w:pos="4153"/>
        <w:tab w:val="right" w:pos="8306"/>
      </w:tabs>
      <w:snapToGrid w:val="0"/>
      <w:jc w:val="left"/>
    </w:pPr>
    <w:rPr>
      <w:sz w:val="18"/>
      <w:szCs w:val="18"/>
    </w:rPr>
  </w:style>
  <w:style w:type="character" w:customStyle="1" w:styleId="a8">
    <w:name w:val="页脚 字符"/>
    <w:basedOn w:val="a0"/>
    <w:link w:val="a7"/>
    <w:uiPriority w:val="99"/>
    <w:rsid w:val="00C341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41228">
      <w:bodyDiv w:val="1"/>
      <w:marLeft w:val="0"/>
      <w:marRight w:val="0"/>
      <w:marTop w:val="0"/>
      <w:marBottom w:val="0"/>
      <w:divBdr>
        <w:top w:val="none" w:sz="0" w:space="0" w:color="auto"/>
        <w:left w:val="none" w:sz="0" w:space="0" w:color="auto"/>
        <w:bottom w:val="none" w:sz="0" w:space="0" w:color="auto"/>
        <w:right w:val="none" w:sz="0" w:space="0" w:color="auto"/>
      </w:divBdr>
    </w:div>
    <w:div w:id="196089553">
      <w:bodyDiv w:val="1"/>
      <w:marLeft w:val="0"/>
      <w:marRight w:val="0"/>
      <w:marTop w:val="0"/>
      <w:marBottom w:val="0"/>
      <w:divBdr>
        <w:top w:val="none" w:sz="0" w:space="0" w:color="auto"/>
        <w:left w:val="none" w:sz="0" w:space="0" w:color="auto"/>
        <w:bottom w:val="none" w:sz="0" w:space="0" w:color="auto"/>
        <w:right w:val="none" w:sz="0" w:space="0" w:color="auto"/>
      </w:divBdr>
    </w:div>
    <w:div w:id="196160485">
      <w:bodyDiv w:val="1"/>
      <w:marLeft w:val="0"/>
      <w:marRight w:val="0"/>
      <w:marTop w:val="0"/>
      <w:marBottom w:val="0"/>
      <w:divBdr>
        <w:top w:val="none" w:sz="0" w:space="0" w:color="auto"/>
        <w:left w:val="none" w:sz="0" w:space="0" w:color="auto"/>
        <w:bottom w:val="none" w:sz="0" w:space="0" w:color="auto"/>
        <w:right w:val="none" w:sz="0" w:space="0" w:color="auto"/>
      </w:divBdr>
    </w:div>
    <w:div w:id="242304103">
      <w:bodyDiv w:val="1"/>
      <w:marLeft w:val="0"/>
      <w:marRight w:val="0"/>
      <w:marTop w:val="0"/>
      <w:marBottom w:val="0"/>
      <w:divBdr>
        <w:top w:val="none" w:sz="0" w:space="0" w:color="auto"/>
        <w:left w:val="none" w:sz="0" w:space="0" w:color="auto"/>
        <w:bottom w:val="none" w:sz="0" w:space="0" w:color="auto"/>
        <w:right w:val="none" w:sz="0" w:space="0" w:color="auto"/>
      </w:divBdr>
      <w:divsChild>
        <w:div w:id="399718593">
          <w:marLeft w:val="0"/>
          <w:marRight w:val="0"/>
          <w:marTop w:val="86"/>
          <w:marBottom w:val="0"/>
          <w:divBdr>
            <w:top w:val="none" w:sz="0" w:space="0" w:color="auto"/>
            <w:left w:val="none" w:sz="0" w:space="0" w:color="auto"/>
            <w:bottom w:val="none" w:sz="0" w:space="0" w:color="auto"/>
            <w:right w:val="none" w:sz="0" w:space="0" w:color="auto"/>
          </w:divBdr>
        </w:div>
        <w:div w:id="64571144">
          <w:marLeft w:val="0"/>
          <w:marRight w:val="0"/>
          <w:marTop w:val="86"/>
          <w:marBottom w:val="0"/>
          <w:divBdr>
            <w:top w:val="none" w:sz="0" w:space="0" w:color="auto"/>
            <w:left w:val="none" w:sz="0" w:space="0" w:color="auto"/>
            <w:bottom w:val="none" w:sz="0" w:space="0" w:color="auto"/>
            <w:right w:val="none" w:sz="0" w:space="0" w:color="auto"/>
          </w:divBdr>
        </w:div>
      </w:divsChild>
    </w:div>
    <w:div w:id="291792915">
      <w:bodyDiv w:val="1"/>
      <w:marLeft w:val="0"/>
      <w:marRight w:val="0"/>
      <w:marTop w:val="0"/>
      <w:marBottom w:val="0"/>
      <w:divBdr>
        <w:top w:val="none" w:sz="0" w:space="0" w:color="auto"/>
        <w:left w:val="none" w:sz="0" w:space="0" w:color="auto"/>
        <w:bottom w:val="none" w:sz="0" w:space="0" w:color="auto"/>
        <w:right w:val="none" w:sz="0" w:space="0" w:color="auto"/>
      </w:divBdr>
    </w:div>
    <w:div w:id="720137094">
      <w:bodyDiv w:val="1"/>
      <w:marLeft w:val="0"/>
      <w:marRight w:val="0"/>
      <w:marTop w:val="0"/>
      <w:marBottom w:val="0"/>
      <w:divBdr>
        <w:top w:val="none" w:sz="0" w:space="0" w:color="auto"/>
        <w:left w:val="none" w:sz="0" w:space="0" w:color="auto"/>
        <w:bottom w:val="none" w:sz="0" w:space="0" w:color="auto"/>
        <w:right w:val="none" w:sz="0" w:space="0" w:color="auto"/>
      </w:divBdr>
      <w:divsChild>
        <w:div w:id="1392774723">
          <w:marLeft w:val="0"/>
          <w:marRight w:val="0"/>
          <w:marTop w:val="86"/>
          <w:marBottom w:val="0"/>
          <w:divBdr>
            <w:top w:val="none" w:sz="0" w:space="0" w:color="auto"/>
            <w:left w:val="none" w:sz="0" w:space="0" w:color="auto"/>
            <w:bottom w:val="none" w:sz="0" w:space="0" w:color="auto"/>
            <w:right w:val="none" w:sz="0" w:space="0" w:color="auto"/>
          </w:divBdr>
        </w:div>
      </w:divsChild>
    </w:div>
    <w:div w:id="1123692714">
      <w:bodyDiv w:val="1"/>
      <w:marLeft w:val="0"/>
      <w:marRight w:val="0"/>
      <w:marTop w:val="0"/>
      <w:marBottom w:val="0"/>
      <w:divBdr>
        <w:top w:val="none" w:sz="0" w:space="0" w:color="auto"/>
        <w:left w:val="none" w:sz="0" w:space="0" w:color="auto"/>
        <w:bottom w:val="none" w:sz="0" w:space="0" w:color="auto"/>
        <w:right w:val="none" w:sz="0" w:space="0" w:color="auto"/>
      </w:divBdr>
    </w:div>
    <w:div w:id="1226339263">
      <w:bodyDiv w:val="1"/>
      <w:marLeft w:val="0"/>
      <w:marRight w:val="0"/>
      <w:marTop w:val="0"/>
      <w:marBottom w:val="0"/>
      <w:divBdr>
        <w:top w:val="none" w:sz="0" w:space="0" w:color="auto"/>
        <w:left w:val="none" w:sz="0" w:space="0" w:color="auto"/>
        <w:bottom w:val="none" w:sz="0" w:space="0" w:color="auto"/>
        <w:right w:val="none" w:sz="0" w:space="0" w:color="auto"/>
      </w:divBdr>
      <w:divsChild>
        <w:div w:id="961114869">
          <w:marLeft w:val="0"/>
          <w:marRight w:val="0"/>
          <w:marTop w:val="86"/>
          <w:marBottom w:val="0"/>
          <w:divBdr>
            <w:top w:val="none" w:sz="0" w:space="0" w:color="auto"/>
            <w:left w:val="none" w:sz="0" w:space="0" w:color="auto"/>
            <w:bottom w:val="none" w:sz="0" w:space="0" w:color="auto"/>
            <w:right w:val="none" w:sz="0" w:space="0" w:color="auto"/>
          </w:divBdr>
        </w:div>
      </w:divsChild>
    </w:div>
    <w:div w:id="1522546660">
      <w:bodyDiv w:val="1"/>
      <w:marLeft w:val="0"/>
      <w:marRight w:val="0"/>
      <w:marTop w:val="0"/>
      <w:marBottom w:val="0"/>
      <w:divBdr>
        <w:top w:val="none" w:sz="0" w:space="0" w:color="auto"/>
        <w:left w:val="none" w:sz="0" w:space="0" w:color="auto"/>
        <w:bottom w:val="none" w:sz="0" w:space="0" w:color="auto"/>
        <w:right w:val="none" w:sz="0" w:space="0" w:color="auto"/>
      </w:divBdr>
    </w:div>
    <w:div w:id="1642923076">
      <w:bodyDiv w:val="1"/>
      <w:marLeft w:val="0"/>
      <w:marRight w:val="0"/>
      <w:marTop w:val="0"/>
      <w:marBottom w:val="0"/>
      <w:divBdr>
        <w:top w:val="none" w:sz="0" w:space="0" w:color="auto"/>
        <w:left w:val="none" w:sz="0" w:space="0" w:color="auto"/>
        <w:bottom w:val="none" w:sz="0" w:space="0" w:color="auto"/>
        <w:right w:val="none" w:sz="0" w:space="0" w:color="auto"/>
      </w:divBdr>
      <w:divsChild>
        <w:div w:id="977032219">
          <w:marLeft w:val="0"/>
          <w:marRight w:val="0"/>
          <w:marTop w:val="0"/>
          <w:marBottom w:val="225"/>
          <w:divBdr>
            <w:top w:val="none" w:sz="0" w:space="0" w:color="auto"/>
            <w:left w:val="none" w:sz="0" w:space="0" w:color="auto"/>
            <w:bottom w:val="none" w:sz="0" w:space="0" w:color="auto"/>
            <w:right w:val="none" w:sz="0" w:space="0" w:color="auto"/>
          </w:divBdr>
          <w:divsChild>
            <w:div w:id="19147306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39156589">
      <w:bodyDiv w:val="1"/>
      <w:marLeft w:val="0"/>
      <w:marRight w:val="0"/>
      <w:marTop w:val="0"/>
      <w:marBottom w:val="0"/>
      <w:divBdr>
        <w:top w:val="none" w:sz="0" w:space="0" w:color="auto"/>
        <w:left w:val="none" w:sz="0" w:space="0" w:color="auto"/>
        <w:bottom w:val="none" w:sz="0" w:space="0" w:color="auto"/>
        <w:right w:val="none" w:sz="0" w:space="0" w:color="auto"/>
      </w:divBdr>
      <w:divsChild>
        <w:div w:id="2018000913">
          <w:marLeft w:val="0"/>
          <w:marRight w:val="0"/>
          <w:marTop w:val="0"/>
          <w:marBottom w:val="0"/>
          <w:divBdr>
            <w:top w:val="none" w:sz="0" w:space="0" w:color="auto"/>
            <w:left w:val="none" w:sz="0" w:space="0" w:color="auto"/>
            <w:bottom w:val="none" w:sz="0" w:space="0" w:color="auto"/>
            <w:right w:val="none" w:sz="0" w:space="0" w:color="auto"/>
          </w:divBdr>
        </w:div>
      </w:divsChild>
    </w:div>
    <w:div w:id="1898472317">
      <w:bodyDiv w:val="1"/>
      <w:marLeft w:val="0"/>
      <w:marRight w:val="0"/>
      <w:marTop w:val="0"/>
      <w:marBottom w:val="0"/>
      <w:divBdr>
        <w:top w:val="none" w:sz="0" w:space="0" w:color="auto"/>
        <w:left w:val="none" w:sz="0" w:space="0" w:color="auto"/>
        <w:bottom w:val="none" w:sz="0" w:space="0" w:color="auto"/>
        <w:right w:val="none" w:sz="0" w:space="0" w:color="auto"/>
      </w:divBdr>
    </w:div>
    <w:div w:id="2070767865">
      <w:bodyDiv w:val="1"/>
      <w:marLeft w:val="0"/>
      <w:marRight w:val="0"/>
      <w:marTop w:val="0"/>
      <w:marBottom w:val="0"/>
      <w:divBdr>
        <w:top w:val="none" w:sz="0" w:space="0" w:color="auto"/>
        <w:left w:val="none" w:sz="0" w:space="0" w:color="auto"/>
        <w:bottom w:val="none" w:sz="0" w:space="0" w:color="auto"/>
        <w:right w:val="none" w:sz="0" w:space="0" w:color="auto"/>
      </w:divBdr>
      <w:divsChild>
        <w:div w:id="964505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5%AF%86%E9%92%A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3</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王昊飞</dc:creator>
  <cp:keywords/>
  <dc:description/>
  <cp:lastModifiedBy>王昊飞</cp:lastModifiedBy>
  <cp:revision>3</cp:revision>
  <dcterms:created xsi:type="dcterms:W3CDTF">2018-05-09T00:05:00Z</dcterms:created>
  <dcterms:modified xsi:type="dcterms:W3CDTF">2018-05-10T01:26:00Z</dcterms:modified>
</cp:coreProperties>
</file>