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工程合同交底文档</w:t>
      </w:r>
    </w:p>
    <w:p>
      <w:r>
        <w:t>生成时间：2024-12-05 22:22:22</w:t>
      </w:r>
    </w:p>
    <w:p>
      <w:pPr>
        <w:pStyle w:val="Heading1"/>
      </w:pPr>
      <w:r>
        <w:t>一、项目及合同概述</w:t>
      </w:r>
    </w:p>
    <w:p>
      <w:pPr>
        <w:pStyle w:val="Heading2"/>
      </w:pPr>
      <w:r>
        <w:t>1. 项目概况</w:t>
      </w:r>
    </w:p>
    <w:p>
      <w:r>
        <w:t>项目名称：深汕工业互联网</w:t>
      </w:r>
    </w:p>
    <w:p>
      <w:r>
        <w:t>项目业态：产业园</w:t>
      </w:r>
    </w:p>
    <w:p>
      <w:r>
        <w:t>项目建设规模：项目总建筑面积25万平米/项目为市政道路，道路里程35KM</w:t>
      </w:r>
    </w:p>
    <w:p>
      <w:r>
        <w:t>项目总投资：20000万元</w:t>
      </w:r>
    </w:p>
    <w:p>
      <w:pPr>
        <w:pStyle w:val="Heading2"/>
      </w:pPr>
      <w:r>
        <w:t>2. 合同概况</w:t>
      </w:r>
    </w:p>
    <w:p>
      <w:r>
        <w:t>工期：2024-12-01 至 2024-12-30，共 30 日历天</w:t>
      </w:r>
    </w:p>
    <w:p>
      <w:r>
        <w:t>合同名称：深汕工业互联网一期施工总承包</w:t>
      </w:r>
    </w:p>
    <w:p>
      <w:r>
        <w:t>甲方：XXX公司</w:t>
      </w:r>
    </w:p>
    <w:p>
      <w:r>
        <w:t>乙方：XXX公司</w:t>
      </w:r>
    </w:p>
    <w:p>
      <w:r>
        <w:t>承发包模式：平行承发包模式</w:t>
      </w:r>
    </w:p>
    <w:p>
      <w:r>
        <w:t>合同计价形式：固定单价</w:t>
      </w:r>
    </w:p>
    <w:p>
      <w:r>
        <w:t>工程规模：建筑面积**平米/道路**KM</w:t>
      </w:r>
    </w:p>
    <w:p>
      <w:pPr>
        <w:pStyle w:val="Heading2"/>
      </w:pPr>
      <w:r>
        <w:t>3. 合同承包范围</w:t>
      </w:r>
    </w:p>
    <w:p>
      <w:r>
        <w:t>单项工程及相关分部工程：</w:t>
      </w:r>
    </w:p>
    <w:p>
      <w:r>
        <w:rPr>
          <w:b/>
        </w:rPr>
        <w:t>1#</w:t>
      </w:r>
    </w:p>
    <w:p>
      <w:r>
        <w:rPr>
          <w:rFonts w:ascii="Segoe UI Symbol" w:hAnsi="Segoe UI Symbol" w:eastAsia="宋体"/>
          <w:sz w:val="21"/>
        </w:rPr>
        <w:t xml:space="preserve">☑ 边坡支护及地基处理工程    </w:t>
      </w:r>
      <w:r>
        <w:rPr>
          <w:rFonts w:ascii="Segoe UI Symbol" w:hAnsi="Segoe UI Symbol" w:eastAsia="宋体"/>
          <w:sz w:val="21"/>
        </w:rPr>
        <w:t xml:space="preserve">☑ 基坑土石方及基坑支护工程    </w:t>
      </w:r>
      <w:r>
        <w:rPr>
          <w:rFonts w:ascii="Segoe UI Symbol" w:hAnsi="Segoe UI Symbol" w:eastAsia="宋体"/>
          <w:sz w:val="21"/>
        </w:rPr>
        <w:t xml:space="preserve">☑ 桩基础工程    </w:t>
      </w:r>
    </w:p>
    <w:p>
      <w:r>
        <w:rPr>
          <w:b/>
        </w:rPr>
        <w:t>室外配套：</w:t>
      </w:r>
    </w:p>
    <w:p>
      <w:r>
        <w:t>室外道路,室外给排水,景观照明,景观给排水,室外电气,室外燃气,高压外线,其他室外土建工程(化粪池、水池、隔油池、小区围墙等),景观绿化工程,标识工程,标线工程</w:t>
      </w:r>
    </w:p>
    <w:p>
      <w:r>
        <w:rPr>
          <w:b/>
        </w:rPr>
        <w:t>红线外：</w:t>
      </w:r>
    </w:p>
    <w:p>
      <w:r>
        <w:t>红外大市政,红线景观工程,红线外道路工程,市政配套给排水工程,市政配套电力工程,市政配套通信工程,市政配套燃气工程,市政配套交通监控工程,市政配套迁改工程,给排水工程迁改,电力工程迁改,通信工程迁改,国防通信工程迁改,燃气工程迁改,交通监控工程迁改</w:t>
      </w:r>
    </w:p>
    <w:p>
      <w:pPr>
        <w:pStyle w:val="Heading2"/>
      </w:pPr>
      <w:r>
        <w:t>4. 合同金额及构成</w:t>
      </w:r>
    </w:p>
    <w:p>
      <w:r>
        <w:t>签约合同金额：**万元</w:t>
      </w:r>
    </w:p>
    <w:p>
      <w:pPr>
        <w:pStyle w:val="Heading2"/>
      </w:pPr>
      <w:r>
        <w:t>5. 付款条件</w:t>
      </w:r>
    </w:p>
    <w:p>
      <w:r>
        <w:t>预付款：**后支付**%预付款</w:t>
      </w:r>
    </w:p>
    <w:p>
      <w:r>
        <w:t>进度款：每月按照完成产值支付*%进度款，验收完成后支付*%</w:t>
      </w:r>
    </w:p>
    <w:p>
      <w:r>
        <w:t>预付款扣回：每支付合同金额的1%，扣回预付款的3%</w:t>
      </w:r>
    </w:p>
    <w:p>
      <w:r>
        <w:t>质保金额：质保金为结算金额的*%，质保期*年</w:t>
      </w:r>
    </w:p>
    <w:p>
      <w:pPr>
        <w:pStyle w:val="Heading2"/>
      </w:pPr>
      <w:r>
        <w:t>6. 结算条件</w:t>
      </w:r>
    </w:p>
    <w:p>
      <w:r>
        <w:t>按照合同规定的内容完成全部工程</w:t>
      </w:r>
    </w:p>
    <w:p>
      <w:r>
        <w:t>工程必须经过相关部门验收，质量合格</w:t>
      </w:r>
    </w:p>
    <w:p>
      <w:r>
        <w:t>符合合同要求：工程竣工结算必须符合合同规定的要求，包括所有增减变更内容，确保结算的合法性和准确性</w:t>
      </w:r>
    </w:p>
    <w:p>
      <w:r>
        <w:t>竣工收报告被批准，取得竣工验收合格报告</w:t>
      </w:r>
    </w:p>
    <w:p>
      <w:r>
        <w:t>其他相关手续办理完毕：包括施工图预算编制完毕、设计变更和现场变更手续办理完毕、经济索赔得到业主认可等</w:t>
      </w:r>
    </w:p>
    <w:p>
      <w:r>
        <w:t>提交完整的算资料：包括施工合同、工程竣工图纸及资料、双方确认的工程量、双方确认追加(减)的合同价格、双方确认的索赔和现场签证事项及价款、招标文件、投标文件、工程量清单报价单或施工图预算书等与竣工结算有关的资料</w:t>
      </w:r>
    </w:p>
    <w:p>
      <w:pPr>
        <w:pStyle w:val="Heading2"/>
      </w:pPr>
      <w:r>
        <w:t>7. 特殊计价原则</w:t>
      </w:r>
    </w:p>
    <w:p>
      <w:pPr>
        <w:pStyle w:val="Heading2"/>
      </w:pPr>
      <w:r>
        <w:t>8. 措施费说明</w:t>
      </w:r>
    </w:p>
    <w:p>
      <w:r>
        <w:t>模板工程：模板工程费用按实际使用面积计算，但需注意特殊部位（如异形构件、高大模板等）的计价方式。</w:t>
      </w:r>
    </w:p>
    <w:p>
      <w:r>
        <w:t>季节性施工措施：根据实际气候条件和施工时间，可能需要额外的防寒、防雨措，这些费用应按实际发生计算。</w:t>
      </w:r>
    </w:p>
    <w:p>
      <w:r>
        <w:t>垂直运输措施：塔吊、施工电梯等垂直运输设备的费用通常按数和使用间计算但要意与总价措施费中包含项目区分。</w:t>
      </w:r>
    </w:p>
    <w:p>
      <w:r>
        <w:t>施工降水措施：地下水位较高的项目可能需要额外的降水措施，些费用应根实际情况计算。</w:t>
      </w:r>
    </w:p>
    <w:p>
      <w:r>
        <w:t>特殊施工措施：如高空作业、水下作业等特殊工条件下的措施费用，应根据际情况单独计算。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