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Second Presbyterian Church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Ms. Simmons,</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nonprofit that develops theological and educational materials in heart languages to equip believers for Scripture discovery in the world's most under-evangelized communities. I am writing to introduce Waha and to learn about the Foundation's process for considering new world outreach partners.</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Second Presbyterian Church Foundation's commitment to ministry among the unreached -- from training church leaders across twenty-two Arab countries through AWEMA to accelerating Scripture access through Every Tribe Every Nation -- speaks to a vision we share deeply. Tunisia is one of those Arab nations: ninety-nine percent Muslim, with believers numbering in the low thousands and proselytizing criminalized by law. Yet the door is opening. Since the Arab Spring, Tunisians have shown growing willingness to explore faith, and underground house churches are forming. What those believers lack is a tool to independently discover and share Scripture in Tunisian Derja, their heart language. The Arabic resources that exist are in Modern Standard Arabic -- a register as distant from daily Tunisian speech as formal English is from spoken dialect. Waha is building the first-ever Tunisian Arabic Discovery Bible Study: audio Scripture delivered securely through an encrypted, offline-capable app designed for exactly this kind of pioneering context. In a similar setting in the Middle East, a small community of thirty believers used Waha to launch ninety Scripture discovery groups in under two months, each one indigenous-led and self-multiplying.</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Waha is part of the Every Tribe Every Nation alliance -- the same initiative the Foundation supports -- and our work serves as the last mile of Scripture access, taking translated text and delivering it in an audio format that oral learners and new believers can actually use. Richard Hoyle of Wycliffe and Alan White of Biblica, both Waha endorsers and ETEN partners, would be glad to speak to our work if that would be helpful. We are requesting $10,000 to fully fund the Tunisian Arabic DBS localization, and we would be grateful for the opportunity to explore whether this project might align with the Foundation's world outreach priorities.</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If there is a process for introducing new ministry partners to the World Missions Committee, we would welcome your guidance on how to proceed. Thank you for your time and for the Foundation's faithfulness to the unreached.</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Respectfully,</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