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Tyndale House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Tyndale House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nonprofit that makes Scripture accessible to oral learners in their heart language through audio-guided Discovery Bible Study. We are an existing licensee of Tyndale's New Living Translation, and I am writing to request an introductory meeting to share a project that takes heart-language Scripture access into one of the world's most challenging mission fields: Pakistan.</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Twenty-six million Saraiki speakers in southern Punjab and northern Sindh have no audio discipleship resources in their heart language. A Saraiki Bible translation exists -- the word of God is ready -- but translation is the starting point, not the destination. Pakistan's blasphemy laws carry the death penalty, making traditional Bible study groups dangerous and visible. Waha's Discovery Bible Study curriculum addresses this directly: audio-first for oral learners, security-hardened with disguise mode and encryption, offline-capable for communities without reliable internet, and freely available to some of the world's poorest populations. In a similar persecution context in the Middle East, a small group of thirty believers used Waha to launch ninety Scripture discovery groups in under two months -- each one indigenous-led, self-multiplying, and invisible to authorities.</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Like the Foundation's partnership with Davar Partners for audio Scripture and Pioneers for church planting among unreached peoples, Waha delivers God's Word in accessible formats to communities that need it most. The distinction is that Waha moves beyond passive audio playback into community Scripture engagement that produces indigenous-led discipleship. Pioneers missionaries already use our tools in the field, and we partner with Wycliffe, SIL, and Biblica across our forty-five active languages. The Saraiki DBS would create a permanent resource for twenty-six million people -- a one-time investment in Scripture engagement infrastructure that serves for generations.</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would welcome the opportunity to discuss this project during an introductory meeting and to explore how it fits within the Foundation's commitment to heart-language Scripture and the Great Commission.</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Respectfully,</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