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Bible Access Fund</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Enns and the SWGP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closes the Bible Gap by delivering Scripture in audio and digital formats to the hardest-to-reach places. Following our January 29 meeting and subsequent conversations with Jeff, I am writing to advance Waha's platform listing and to share a specific project that embodies the kind of righteous risk the Bible Access Fund was created to support.</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Japan has 125 million people, yet fewer than 1% have a meaningful relationship with the gospel. Scripture exists in Japanese, but translation alone has not produced transformation. What is missing is a tool that activates Scripture into community discovery -- something accessible enough for any believer to use, without training, without a pastor, without cost. Waha's Disciple Making Course does exactly this. In the Middle East, where our tools first launched, a single group of thirty grew to ninety Discovery Bible Study groups in fifty days, each one led by someone who had never facilitated Scripture study before. That same multiplication model is now ready for Japanese speakers.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Japanese DMC translation is nearly complete. We are seeking to bring this resource to full audio production and deployment -- a permanent Scripture engagement tool for 125 million people. Waha already collaborates with organizations central to the Close the Bible Gap Alliance, including Wycliffe and Biblica, and Jenny Tangeman at YouVersion has publicly endorsed our approach to reaching restricted-access nations. We believe Waha's listing on the SWGP platform would give donors a clear, high-impact opportunity to close the Bible Gap one language at a time.</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welcome the chance to discuss next steps for platform listing and how the Japanese DMC can serve as a concrete giving opportunity for Bible Access Fund donors. Thank you for your partnership in this work.</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