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Bible Access Fund</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Enns and the SWGP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nonprofit that closes the Bible Gap by delivering audio Scripture securely and contextually to communities that have never had it. Building on our January and February conversations with Jeff, I am writing to share a project that speaks directly to the Bible Access Fund's mission: the Kinyarwanda Discovery Bible Study.</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Rwanda is a nation where ninety percent of the population identifies as Christian, yet deep, community-based Scripture engagement remains rare. The post-genocide church is wide but shallow -- and twelve million Kinyarwanda speakers in Rwanda and eastern Congo have no audio Bible study resource in their heart language. Waha's Discovery Bible Study curriculum changes that: audio-guided, offline-capable, and designed so any believer can gather a group, press play, and discover Scripture together. No literacy required. No training required. In one region of the Middle East where we piloted this approach, thirty groups multiplied to ninety in under two months, each led by ordinary believers who had never facilitated a Bible study before.</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The Kinyarwanda DBS localization costs $10,000 and would create a permanent Scripture engagement resource for twelve million people -- the kind of clear, measurable investment that moves generosity with clarity and confidence. Waha collaborates with Wycliffe, Biblica, and the Every Tribe Every Nation alliance, all contributing to the 2033 goal of Scripture in every language. We believe this project represents exactly the kind of righteous risk and innovation the Bible Access Fund was designed to champion.</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look forward to continuing our conversation about platform listing and would be glad to discuss how the Kinyarwanda DBS could serve as a donor-facing project on the SWGP platform.</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