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Global Bible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Global Bible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free audio Bible engagement platform that equips believers on the frontlines of Scripture access across 45+ languages. I am reaching out because Global Bible Foundation's mission to bridge the funding gap for Bible engagement worldwide is exactly the kind of partnership we seek as we work to bring discipleship resources to one of the least-reached nations on earth.</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is home to 125 million people, yet fewer than 1% are Christian. The average congregation has 30 members, and the average pastor is over 60 years old. Bibles sit on shelves, but there is no clear pathway from translation to transformation. In Sweden, a pastor named Johan faced something similar: his congregation was aging, projected to close within 15 years. He contacted Waha, rallied community members to translate and record our audio curriculum in Swedish, and within three months, 562 Discovery Bible Studies had launched. His church went from the verge of decline to multiplication. Japan needs the same kind of spark, and the Japanese Disciple Making Course is designed to provide it.</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translation is nearly complete. A partnership of $7,500 would fund the remaining audio production and cultural adaptation, creating a permanent Bible engagement resource for every Japanese speaker in the world. Like your partners Oasis International and WordSpread, Waha equips local believers to nurture deeper faith in their communities, but through audio, reaching people who learn best by listening rather than reading. Once deployed, this resource serves the Japanese church at no ongoing cost.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opportunity to explore whether this project fits within Global Bible Foundation's vision for resourcing partner organizations on the frontlines. I have enclosed a brief partnership proposal with additional detail, and I am glad to speak further at your convenience.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