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Global Bible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Global Bible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free audio Bible engagement platform that equips believers on the frontlines of Scripture access in 45+ languages across 170+ countries. I am writing because your mission to fuel spiritual transformation through Bible distribution, engagement, and discipleship speaks directly to the work we are doing in East Africa.</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Rwanda is one of the most Christian nations on earth. Roughly 90% of its 14 million people identify as believers. But identification alone does not transform communities. After the 1994 genocide that killed 800,000 people, Rwandans turned to faith in extraordinary numbers, and a generation raised in the shadow of ethnic violence is hungry for deeper Scripture engagement. Yet most Rwandan believers have never studied the Bible outside of a Sunday service. Rural communities, where literacy varies and internet is scarce, are especially underserved. In Mauritius, a family living in poverty and conflict began listening to Waha's audio Bible studies together. Week by week, the father stopped drinking, the children returned to school, and the family's youngest said during one session, "I'm thankful for you too, Mama!" That is what happens when Scripture reaches a household in a format they can use. Kinyarwanda speakers deserve the same access.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$5,000 partnership would fund the translation and Scripture licensing for a complete Kinyarwanda Discovery Bible Study (DBS) curriculum, creating a permanent audio Bible engagement resource for 12 million speakers in Rwanda, eastern Congo, and Uganda. Like your partners Oasis International and WordSpread, Waha equips local believers to nurture deeper faith in their communities. Where those partners serve through print, Waha serves through audio, reaching oral learners in remote villages and bustling cities alike.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be glad to share more about how this project fits within Global Bible Foundation's partnership model. A brief proposal is enclosed, and I welcome the opportunity to speak further.</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partnership,</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