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Parkinson Family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Parkinson and Dr. Wright,</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faith and evangelism ministry that equips believers to love their neighbors through community-based Scripture discovery. I am writing because your foundation's commitment to the Greatest Commandment aligns closely with what we are working to accomplish in Japan, one of the world's most spiritually underserved nations. Fewer than 1 in 100 Japanese people know Jesus. The church there is aging and tiny, and most believers have never been given the tools or confidence to share their faith with the people around them.</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Waha's Disciple Making Course (DMC) changes that. It is a nine-week training that equips ordinary believers to gather a small group, listen to Scripture together, and discuss what God reveals. Like the Seed Company, which you already support for Bible translation, Waha completes the last mile: taking the Japanese Scripture that already exists and putting it into the hands of real communities through audio-guided, interactive discovery. In Sweden, a pastor whose aging congregation was projecting closure within fifteen years used the DMC to train his members. Within three months, they had facilitated over five hundred Discovery Bible Studies across the country, and a church on the verge of decline experienced what he called "incredible multiplication." Japan faces a strikingly similar challenge, and we believe this same approach can bear fruit there.</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Japanese DMC translation is complete, with 99% approved in our localization platform. A grant of $5,000 would fund a significant portion of the audio recording by native Japanese speakers and case study contextualization, delivering a permanent faith and evangelism resource to 125 million Japanese speakers. Once produced, this content remains freely available at no ongoing cost, and Japan's world-class digital infrastructure means every smartphone is a potential doorway to discipleship.</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I have enclosed a full proposal and budget for your consideration. If this project reflects the kind of faith and evangelism work your foundation supports, we would be grateful for the opportunity to share more.</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