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Soma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Beckum and the Soma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Christian ministry committed to proclaiming the gospel by equipping believers to facilitate community-based Scripture discovery. I am writing because we see a deep alignment between the Soma Foundation's mission and a project we believe could become a transformative ministry for one of the world's most spiritually vulnerable populations. Japan is a nation of 125 million people, yet fewer than 1% are Christian. The church is aging and struggling to grow, not for lack of translated Scripture, but because Japanese believers have been trained to receive ministry rather than to share it. Proclaiming the gospel in Japan requires a different approach, one that empowers ordinary people to lead.</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That is what Waha's Disciple Making Course (DMC) does. It is a nine-week training in which believers learn to gather a small group, listen to Scripture together, and discover what God reveals. In London, a church planter spent years trying to mobilize new believers in a culture where people assumed only an expert should do ministry. Before a three-month sabbatical, he introduced the DMC. When he returned, multiple discovery groups had started without him, and people were being discipled whom he had never met. Japan's church faces that same cultural dynamic, and we believe this tool can help Japanese Christians become effective gospel proclaimers in their own communities.</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Japanese DMC translation is complete, with 99% approved in our localization platform. A grant of $7,500 would fund the audio production by native Japanese speakers and cultural adaptation of case studies, creating a permanent resource for 125 million Japanese speakers. Waha collaborates with Biblica, Wycliffe, YouVersion, and 24:14, and our tools are used by more than 82,000 people across 170 countries. Once deployed, the Japanese content remains available at no ongoing cost, a sustainable investment with documented outcomes we would be glad to share.</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recognize that the Soma Foundation prioritizes transformative ministries for the poor and vulnerable. While Japan is a wealthy nation, its people are among the most spiritually underserved in the developed world. If this project aligns with your current priorities, I have enclosed a full proposal with budget and would welcome the opportunity for a conversation about what God is doing through this work.</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Respectfully,</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