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C2E36" w14:textId="77777777" w:rsidR="008C5D96" w:rsidRPr="00F24C3D" w:rsidRDefault="008C5D96" w:rsidP="00F24C3D">
      <w:pPr>
        <w:pStyle w:val="Heading3"/>
        <w:shd w:val="clear" w:color="auto" w:fill="FFFFFF"/>
        <w:spacing w:before="0" w:beforeAutospacing="0" w:after="0" w:afterAutospacing="0" w:line="290" w:lineRule="atLeast"/>
        <w:rPr>
          <w:rFonts w:asciiTheme="minorHAnsi" w:hAnsiTheme="minorHAnsi" w:cstheme="minorHAnsi"/>
          <w:color w:val="000000"/>
          <w:sz w:val="30"/>
          <w:szCs w:val="30"/>
        </w:rPr>
      </w:pPr>
      <w:r w:rsidRPr="00F24C3D">
        <w:rPr>
          <w:rFonts w:asciiTheme="minorHAnsi" w:hAnsiTheme="minorHAnsi" w:cstheme="minorHAnsi"/>
          <w:color w:val="000000"/>
          <w:sz w:val="30"/>
          <w:szCs w:val="30"/>
        </w:rPr>
        <w:t>Conversion rate:</w:t>
      </w:r>
    </w:p>
    <w:p w14:paraId="6805BEE8"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 xml:space="preserve">Conversion rate is a way to measure the percentage of users or customer prospects who complete a desired action, such as making a purchase, registering an </w:t>
      </w:r>
      <w:proofErr w:type="gramStart"/>
      <w:r w:rsidRPr="00F24C3D">
        <w:rPr>
          <w:rFonts w:asciiTheme="minorHAnsi" w:hAnsiTheme="minorHAnsi" w:cstheme="minorHAnsi"/>
          <w:color w:val="000000"/>
          <w:sz w:val="27"/>
          <w:szCs w:val="27"/>
        </w:rPr>
        <w:t>account</w:t>
      </w:r>
      <w:proofErr w:type="gramEnd"/>
      <w:r w:rsidRPr="00F24C3D">
        <w:rPr>
          <w:rFonts w:asciiTheme="minorHAnsi" w:hAnsiTheme="minorHAnsi" w:cstheme="minorHAnsi"/>
          <w:color w:val="000000"/>
          <w:sz w:val="27"/>
          <w:szCs w:val="27"/>
        </w:rPr>
        <w:t xml:space="preserve"> or starting a free trial. Tracking this metric can help you get a feel for how well your marketing strategy is working. The formula is:</w:t>
      </w:r>
    </w:p>
    <w:p w14:paraId="3F79BCB2" w14:textId="77777777" w:rsidR="008C5D96" w:rsidRPr="00F24C3D" w:rsidRDefault="008C5D96" w:rsidP="00F24C3D">
      <w:pPr>
        <w:pStyle w:val="formulabox"/>
        <w:pBdr>
          <w:top w:val="single" w:sz="6" w:space="26" w:color="E0E0DF"/>
          <w:left w:val="single" w:sz="6" w:space="26" w:color="E0E0DF"/>
          <w:bottom w:val="single" w:sz="6" w:space="26" w:color="E0E0DF"/>
          <w:right w:val="single" w:sz="6" w:space="26" w:color="E0E0DF"/>
        </w:pBdr>
        <w:shd w:val="clear" w:color="auto" w:fill="FFFFFF"/>
        <w:spacing w:before="450" w:beforeAutospacing="0" w:after="450" w:afterAutospacing="0" w:line="360" w:lineRule="atLeast"/>
        <w:ind w:left="720"/>
        <w:rPr>
          <w:rFonts w:asciiTheme="minorHAnsi" w:hAnsiTheme="minorHAnsi" w:cstheme="minorHAnsi"/>
          <w:color w:val="4F585B"/>
          <w:sz w:val="27"/>
          <w:szCs w:val="27"/>
        </w:rPr>
      </w:pPr>
      <w:r w:rsidRPr="00F24C3D">
        <w:rPr>
          <w:rStyle w:val="Strong"/>
          <w:rFonts w:asciiTheme="minorHAnsi" w:hAnsiTheme="minorHAnsi" w:cstheme="minorHAnsi"/>
          <w:color w:val="56A7AF"/>
          <w:sz w:val="27"/>
          <w:szCs w:val="27"/>
        </w:rPr>
        <w:t>Conversion rate =</w:t>
      </w:r>
      <w:r w:rsidRPr="00F24C3D">
        <w:rPr>
          <w:rFonts w:asciiTheme="minorHAnsi" w:hAnsiTheme="minorHAnsi" w:cstheme="minorHAnsi"/>
          <w:color w:val="4F585B"/>
          <w:sz w:val="27"/>
          <w:szCs w:val="27"/>
        </w:rPr>
        <w:t> (Conversions / Total unique visitors) x 100</w:t>
      </w:r>
    </w:p>
    <w:p w14:paraId="3C48E084"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For example, suppose a subscription business offers a free trial to 1,000 potential customers in total, and 200 of them take advantage of it. The conversion rate is (200 / 1,000) x 100, or 20%.</w:t>
      </w:r>
    </w:p>
    <w:p w14:paraId="40F0A42A" w14:textId="77777777" w:rsidR="008C5D96" w:rsidRPr="00F24C3D" w:rsidRDefault="008C5D96" w:rsidP="00F24C3D">
      <w:pPr>
        <w:pStyle w:val="Heading3"/>
        <w:shd w:val="clear" w:color="auto" w:fill="FFFFFF"/>
        <w:spacing w:before="0" w:beforeAutospacing="0" w:after="0" w:afterAutospacing="0" w:line="290" w:lineRule="atLeast"/>
        <w:ind w:left="720"/>
        <w:rPr>
          <w:rFonts w:asciiTheme="minorHAnsi" w:hAnsiTheme="minorHAnsi" w:cstheme="minorHAnsi"/>
          <w:color w:val="000000"/>
          <w:sz w:val="30"/>
          <w:szCs w:val="30"/>
        </w:rPr>
      </w:pPr>
      <w:r w:rsidRPr="00F24C3D">
        <w:rPr>
          <w:rFonts w:asciiTheme="minorHAnsi" w:hAnsiTheme="minorHAnsi" w:cstheme="minorHAnsi"/>
          <w:color w:val="000000"/>
          <w:sz w:val="30"/>
          <w:szCs w:val="30"/>
        </w:rPr>
        <w:t>Net profit margin:</w:t>
      </w:r>
    </w:p>
    <w:p w14:paraId="6AD6B546"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One of the most important indicators of a business’s profitability, net profit margin measures how much actual profit is netted for each dollar of revenue made. This is important because revenue increases may not always translate into increased profitability. Before calculating the net profit margin, a business must calculate its net income. The formula for net profit margin is:</w:t>
      </w:r>
    </w:p>
    <w:p w14:paraId="49F52C59" w14:textId="77777777" w:rsidR="008C5D96" w:rsidRPr="00F24C3D" w:rsidRDefault="008C5D96" w:rsidP="00F24C3D">
      <w:pPr>
        <w:pStyle w:val="formulabox"/>
        <w:pBdr>
          <w:top w:val="single" w:sz="6" w:space="26" w:color="E0E0DF"/>
          <w:left w:val="single" w:sz="6" w:space="26" w:color="E0E0DF"/>
          <w:bottom w:val="single" w:sz="6" w:space="26" w:color="E0E0DF"/>
          <w:right w:val="single" w:sz="6" w:space="26" w:color="E0E0DF"/>
        </w:pBdr>
        <w:shd w:val="clear" w:color="auto" w:fill="FFFFFF"/>
        <w:spacing w:before="450" w:beforeAutospacing="0" w:after="450" w:afterAutospacing="0" w:line="360" w:lineRule="atLeast"/>
        <w:ind w:left="720"/>
        <w:rPr>
          <w:rFonts w:asciiTheme="minorHAnsi" w:hAnsiTheme="minorHAnsi" w:cstheme="minorHAnsi"/>
          <w:color w:val="4F585B"/>
          <w:sz w:val="27"/>
          <w:szCs w:val="27"/>
        </w:rPr>
      </w:pPr>
      <w:r w:rsidRPr="00F24C3D">
        <w:rPr>
          <w:rStyle w:val="Strong"/>
          <w:rFonts w:asciiTheme="minorHAnsi" w:hAnsiTheme="minorHAnsi" w:cstheme="minorHAnsi"/>
          <w:color w:val="56A7AF"/>
          <w:sz w:val="27"/>
          <w:szCs w:val="27"/>
        </w:rPr>
        <w:t>Net profit margin =</w:t>
      </w:r>
      <w:r w:rsidRPr="00F24C3D">
        <w:rPr>
          <w:rFonts w:asciiTheme="minorHAnsi" w:hAnsiTheme="minorHAnsi" w:cstheme="minorHAnsi"/>
          <w:color w:val="4F585B"/>
          <w:sz w:val="27"/>
          <w:szCs w:val="27"/>
        </w:rPr>
        <w:t> (Net income / Total revenue) x 100</w:t>
      </w:r>
    </w:p>
    <w:p w14:paraId="67C31C29" w14:textId="77777777" w:rsidR="00D22894" w:rsidRPr="00F24C3D" w:rsidRDefault="00D22894" w:rsidP="00F24C3D">
      <w:pPr>
        <w:pStyle w:val="Heading3"/>
        <w:shd w:val="clear" w:color="auto" w:fill="FFFFFF"/>
        <w:spacing w:before="0" w:beforeAutospacing="0" w:after="0" w:afterAutospacing="0" w:line="290" w:lineRule="atLeast"/>
        <w:ind w:left="720"/>
        <w:rPr>
          <w:rFonts w:asciiTheme="minorHAnsi" w:hAnsiTheme="minorHAnsi" w:cstheme="minorHAnsi"/>
          <w:color w:val="000000"/>
          <w:sz w:val="30"/>
          <w:szCs w:val="30"/>
        </w:rPr>
      </w:pPr>
      <w:r w:rsidRPr="00F24C3D">
        <w:rPr>
          <w:rFonts w:asciiTheme="minorHAnsi" w:hAnsiTheme="minorHAnsi" w:cstheme="minorHAnsi"/>
          <w:color w:val="000000"/>
          <w:sz w:val="30"/>
          <w:szCs w:val="30"/>
        </w:rPr>
        <w:t>Gross profit margin:</w:t>
      </w:r>
    </w:p>
    <w:p w14:paraId="431C372C" w14:textId="77777777" w:rsidR="00D22894" w:rsidRPr="00F24C3D" w:rsidRDefault="00D22894"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Unlike net profit margin, gross profit margin shows a company’s profits before subtracting interest, taxes and operating expenses like rent, utilities and wages. A healthy gross profit margin plays an important factor in whether a business is able to cover all of its expenses. The formula is:</w:t>
      </w:r>
    </w:p>
    <w:p w14:paraId="2C7D6A81" w14:textId="77777777" w:rsidR="00D22894" w:rsidRPr="00F24C3D" w:rsidRDefault="00D22894" w:rsidP="00F24C3D">
      <w:pPr>
        <w:pStyle w:val="formulabox"/>
        <w:pBdr>
          <w:top w:val="single" w:sz="6" w:space="26" w:color="E0E0DF"/>
          <w:left w:val="single" w:sz="6" w:space="26" w:color="E0E0DF"/>
          <w:bottom w:val="single" w:sz="6" w:space="26" w:color="E0E0DF"/>
          <w:right w:val="single" w:sz="6" w:space="26" w:color="E0E0DF"/>
        </w:pBdr>
        <w:shd w:val="clear" w:color="auto" w:fill="FFFFFF"/>
        <w:spacing w:before="450" w:beforeAutospacing="0" w:after="450" w:afterAutospacing="0" w:line="360" w:lineRule="atLeast"/>
        <w:ind w:left="720"/>
        <w:rPr>
          <w:rFonts w:asciiTheme="minorHAnsi" w:hAnsiTheme="minorHAnsi" w:cstheme="minorHAnsi"/>
          <w:color w:val="4F585B"/>
          <w:sz w:val="27"/>
          <w:szCs w:val="27"/>
        </w:rPr>
      </w:pPr>
      <w:r w:rsidRPr="00F24C3D">
        <w:rPr>
          <w:rStyle w:val="Strong"/>
          <w:rFonts w:asciiTheme="minorHAnsi" w:hAnsiTheme="minorHAnsi" w:cstheme="minorHAnsi"/>
          <w:color w:val="56A7AF"/>
          <w:sz w:val="27"/>
          <w:szCs w:val="27"/>
        </w:rPr>
        <w:lastRenderedPageBreak/>
        <w:t>Gross profit margin =</w:t>
      </w:r>
      <w:r w:rsidRPr="00F24C3D">
        <w:rPr>
          <w:rFonts w:asciiTheme="minorHAnsi" w:hAnsiTheme="minorHAnsi" w:cstheme="minorHAnsi"/>
          <w:color w:val="4F585B"/>
          <w:sz w:val="27"/>
          <w:szCs w:val="27"/>
        </w:rPr>
        <w:t> (Revenue - Cost of goods or services sold) / Revenue</w:t>
      </w:r>
    </w:p>
    <w:p w14:paraId="08339448"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p>
    <w:p w14:paraId="478C6842" w14:textId="77777777" w:rsidR="008C5D96" w:rsidRPr="00F24C3D" w:rsidRDefault="008C5D96" w:rsidP="00F24C3D">
      <w:pPr>
        <w:shd w:val="clear" w:color="auto" w:fill="FFFFFF"/>
        <w:spacing w:after="0" w:line="290" w:lineRule="atLeast"/>
        <w:outlineLvl w:val="2"/>
        <w:rPr>
          <w:rFonts w:eastAsia="Times New Roman" w:cstheme="minorHAnsi"/>
          <w:b/>
          <w:bCs/>
          <w:color w:val="000000"/>
          <w:kern w:val="0"/>
          <w:sz w:val="30"/>
          <w:szCs w:val="30"/>
          <w14:ligatures w14:val="none"/>
        </w:rPr>
      </w:pPr>
    </w:p>
    <w:p w14:paraId="7D233B56" w14:textId="17EF0480" w:rsidR="008C5D96" w:rsidRPr="008C5D96" w:rsidRDefault="008C5D96" w:rsidP="00F24C3D">
      <w:pPr>
        <w:shd w:val="clear" w:color="auto" w:fill="FFFFFF"/>
        <w:spacing w:after="0" w:line="290" w:lineRule="atLeast"/>
        <w:outlineLvl w:val="2"/>
        <w:rPr>
          <w:rFonts w:eastAsia="Times New Roman" w:cstheme="minorHAnsi"/>
          <w:b/>
          <w:bCs/>
          <w:color w:val="000000"/>
          <w:kern w:val="0"/>
          <w:sz w:val="30"/>
          <w:szCs w:val="30"/>
          <w14:ligatures w14:val="none"/>
        </w:rPr>
      </w:pPr>
      <w:r w:rsidRPr="008C5D96">
        <w:rPr>
          <w:rFonts w:eastAsia="Times New Roman" w:cstheme="minorHAnsi"/>
          <w:b/>
          <w:bCs/>
          <w:color w:val="000000"/>
          <w:kern w:val="0"/>
          <w:sz w:val="30"/>
          <w:szCs w:val="30"/>
          <w14:ligatures w14:val="none"/>
        </w:rPr>
        <w:t>Churn rate:</w:t>
      </w:r>
    </w:p>
    <w:p w14:paraId="4BA8543E" w14:textId="77777777" w:rsidR="008C5D96" w:rsidRPr="008C5D96" w:rsidRDefault="008C5D96" w:rsidP="00F24C3D">
      <w:pPr>
        <w:shd w:val="clear" w:color="auto" w:fill="FFFFFF"/>
        <w:spacing w:after="300" w:line="360" w:lineRule="atLeast"/>
        <w:rPr>
          <w:rFonts w:eastAsia="Times New Roman" w:cstheme="minorHAnsi"/>
          <w:color w:val="000000"/>
          <w:kern w:val="0"/>
          <w:sz w:val="27"/>
          <w:szCs w:val="27"/>
          <w14:ligatures w14:val="none"/>
        </w:rPr>
      </w:pPr>
      <w:r w:rsidRPr="008C5D96">
        <w:rPr>
          <w:rFonts w:eastAsia="Times New Roman" w:cstheme="minorHAnsi"/>
          <w:color w:val="000000"/>
          <w:kern w:val="0"/>
          <w:sz w:val="27"/>
          <w:szCs w:val="27"/>
          <w14:ligatures w14:val="none"/>
        </w:rPr>
        <w:t>Churn rate is the percentage of customers who cancel or don’t renew their contracts or subscriptions for a company’s services or products. This metric crosses department lines: For sales, it reflects a sales team’s ability to retain customers. For finance, leaders watch churn rates to see the potential impact on a company’s sales and profits. For Software-as-Service (SaaS) businesses, it can mean rising or plummeting subscribers and, hence, revenue. All of these concerns can hit the marketing department, too, which needs to evaluate the channels and campaigns that performed well or fell flat. Rising churn rates could indicate a problem with a company’s offerings or customer service approach, or it could mean the company is losing business to competitors. The formula is:</w:t>
      </w:r>
    </w:p>
    <w:p w14:paraId="13B4AE0F" w14:textId="77777777" w:rsidR="008C5D96" w:rsidRPr="008C5D96" w:rsidRDefault="008C5D96" w:rsidP="00F24C3D">
      <w:pPr>
        <w:pBdr>
          <w:top w:val="single" w:sz="6" w:space="26" w:color="E0E0DF"/>
          <w:left w:val="single" w:sz="6" w:space="26" w:color="E0E0DF"/>
          <w:bottom w:val="single" w:sz="6" w:space="26" w:color="E0E0DF"/>
          <w:right w:val="single" w:sz="6" w:space="26" w:color="E0E0DF"/>
        </w:pBdr>
        <w:shd w:val="clear" w:color="auto" w:fill="FFFFFF"/>
        <w:spacing w:before="450" w:after="450" w:line="360" w:lineRule="atLeast"/>
        <w:rPr>
          <w:rFonts w:eastAsia="Times New Roman" w:cstheme="minorHAnsi"/>
          <w:color w:val="4F585B"/>
          <w:kern w:val="0"/>
          <w:sz w:val="27"/>
          <w:szCs w:val="27"/>
          <w14:ligatures w14:val="none"/>
        </w:rPr>
      </w:pPr>
      <w:r w:rsidRPr="008C5D96">
        <w:rPr>
          <w:rFonts w:eastAsia="Times New Roman" w:cstheme="minorHAnsi"/>
          <w:b/>
          <w:bCs/>
          <w:color w:val="56A7AF"/>
          <w:kern w:val="0"/>
          <w:sz w:val="27"/>
          <w:szCs w:val="27"/>
          <w14:ligatures w14:val="none"/>
        </w:rPr>
        <w:t>Churn rate =</w:t>
      </w:r>
      <w:r w:rsidRPr="008C5D96">
        <w:rPr>
          <w:rFonts w:eastAsia="Times New Roman" w:cstheme="minorHAnsi"/>
          <w:color w:val="4F585B"/>
          <w:kern w:val="0"/>
          <w:sz w:val="27"/>
          <w:szCs w:val="27"/>
          <w14:ligatures w14:val="none"/>
        </w:rPr>
        <w:t> Number of customers lost during period / Starting number of customers at beginning of period x 100</w:t>
      </w:r>
    </w:p>
    <w:p w14:paraId="3C3269DE" w14:textId="4AECA7D3" w:rsidR="008B6E32" w:rsidRPr="00F24C3D" w:rsidRDefault="008C5D96" w:rsidP="00F24C3D">
      <w:pPr>
        <w:rPr>
          <w:rFonts w:cstheme="minorHAnsi"/>
          <w:color w:val="000000"/>
          <w:sz w:val="27"/>
          <w:szCs w:val="27"/>
          <w:shd w:val="clear" w:color="auto" w:fill="FFFFFF"/>
        </w:rPr>
      </w:pPr>
      <w:r w:rsidRPr="00F24C3D">
        <w:rPr>
          <w:rFonts w:cstheme="minorHAnsi"/>
          <w:color w:val="000000"/>
          <w:sz w:val="27"/>
          <w:szCs w:val="27"/>
          <w:shd w:val="clear" w:color="auto" w:fill="FFFFFF"/>
        </w:rPr>
        <w:t>For example, if a company begins Q3 with 5,000 customers and ends Q3 with 4,000 customers, then the difference in the number of customers (1,000) indicates a 20% churn rate.</w:t>
      </w:r>
    </w:p>
    <w:p w14:paraId="39AFD040" w14:textId="77777777" w:rsidR="008C5D96" w:rsidRPr="00F24C3D" w:rsidRDefault="008C5D96" w:rsidP="00F24C3D">
      <w:pPr>
        <w:rPr>
          <w:rFonts w:cstheme="minorHAnsi"/>
          <w:color w:val="000000"/>
          <w:sz w:val="27"/>
          <w:szCs w:val="27"/>
          <w:shd w:val="clear" w:color="auto" w:fill="FFFFFF"/>
        </w:rPr>
      </w:pPr>
    </w:p>
    <w:p w14:paraId="0E45CFF0" w14:textId="77777777" w:rsidR="008C5D96" w:rsidRPr="00F24C3D" w:rsidRDefault="008C5D96" w:rsidP="00F24C3D">
      <w:pPr>
        <w:pStyle w:val="Heading3"/>
        <w:shd w:val="clear" w:color="auto" w:fill="FFFFFF"/>
        <w:spacing w:before="0" w:beforeAutospacing="0" w:after="0" w:afterAutospacing="0" w:line="290" w:lineRule="atLeast"/>
        <w:ind w:left="720"/>
        <w:rPr>
          <w:rFonts w:asciiTheme="minorHAnsi" w:hAnsiTheme="minorHAnsi" w:cstheme="minorHAnsi"/>
          <w:color w:val="000000"/>
          <w:sz w:val="30"/>
          <w:szCs w:val="30"/>
        </w:rPr>
      </w:pPr>
      <w:r w:rsidRPr="00F24C3D">
        <w:rPr>
          <w:rFonts w:asciiTheme="minorHAnsi" w:hAnsiTheme="minorHAnsi" w:cstheme="minorHAnsi"/>
          <w:color w:val="000000"/>
          <w:sz w:val="30"/>
          <w:szCs w:val="30"/>
        </w:rPr>
        <w:t>Growth rate:</w:t>
      </w:r>
    </w:p>
    <w:p w14:paraId="2746EC6D"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 xml:space="preserve">Year-over-year growth, which is similarly easy to calculate, is an important overall indicator of the health of your business. When compared to industry </w:t>
      </w:r>
      <w:r w:rsidRPr="00F24C3D">
        <w:rPr>
          <w:rFonts w:asciiTheme="minorHAnsi" w:hAnsiTheme="minorHAnsi" w:cstheme="minorHAnsi"/>
          <w:color w:val="000000"/>
          <w:sz w:val="27"/>
          <w:szCs w:val="27"/>
        </w:rPr>
        <w:lastRenderedPageBreak/>
        <w:t>benchmarks, it tells you how well or how poorly your sales team is performing compared to the competition. The formula is:</w:t>
      </w:r>
    </w:p>
    <w:p w14:paraId="66E8DAF3" w14:textId="77777777" w:rsidR="008C5D96" w:rsidRPr="00F24C3D" w:rsidRDefault="008C5D96" w:rsidP="00F24C3D">
      <w:pPr>
        <w:pStyle w:val="formulabox"/>
        <w:pBdr>
          <w:top w:val="single" w:sz="6" w:space="26" w:color="E0E0DF"/>
          <w:left w:val="single" w:sz="6" w:space="26" w:color="E0E0DF"/>
          <w:bottom w:val="single" w:sz="6" w:space="26" w:color="E0E0DF"/>
          <w:right w:val="single" w:sz="6" w:space="26" w:color="E0E0DF"/>
        </w:pBdr>
        <w:shd w:val="clear" w:color="auto" w:fill="FFFFFF"/>
        <w:spacing w:before="450" w:beforeAutospacing="0" w:after="450" w:afterAutospacing="0" w:line="360" w:lineRule="atLeast"/>
        <w:ind w:left="720"/>
        <w:rPr>
          <w:rFonts w:asciiTheme="minorHAnsi" w:hAnsiTheme="minorHAnsi" w:cstheme="minorHAnsi"/>
          <w:color w:val="4F585B"/>
          <w:sz w:val="27"/>
          <w:szCs w:val="27"/>
        </w:rPr>
      </w:pPr>
      <w:r w:rsidRPr="00F24C3D">
        <w:rPr>
          <w:rStyle w:val="Strong"/>
          <w:rFonts w:asciiTheme="minorHAnsi" w:hAnsiTheme="minorHAnsi" w:cstheme="minorHAnsi"/>
          <w:color w:val="56A7AF"/>
          <w:sz w:val="27"/>
          <w:szCs w:val="27"/>
        </w:rPr>
        <w:t>Sales growth rate =</w:t>
      </w:r>
      <w:r w:rsidRPr="00F24C3D">
        <w:rPr>
          <w:rFonts w:asciiTheme="minorHAnsi" w:hAnsiTheme="minorHAnsi" w:cstheme="minorHAnsi"/>
          <w:color w:val="4F585B"/>
          <w:sz w:val="27"/>
          <w:szCs w:val="27"/>
        </w:rPr>
        <w:t> (Current year revenue - Previous year revenue) / Previous year revenue x 100</w:t>
      </w:r>
    </w:p>
    <w:p w14:paraId="0E2495D0"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If your sales were $12 million this year and $11 million last year, your growth rate is ($12 - $11) / $11 x 100, or 9.09%.</w:t>
      </w:r>
    </w:p>
    <w:p w14:paraId="77882A9A" w14:textId="77777777" w:rsidR="008C5D96" w:rsidRPr="00F24C3D" w:rsidRDefault="008C5D96" w:rsidP="00F24C3D">
      <w:pPr>
        <w:pStyle w:val="Heading3"/>
        <w:shd w:val="clear" w:color="auto" w:fill="FFFFFF"/>
        <w:spacing w:before="0" w:beforeAutospacing="0" w:after="0" w:afterAutospacing="0" w:line="290" w:lineRule="atLeast"/>
        <w:ind w:left="720"/>
        <w:rPr>
          <w:rFonts w:asciiTheme="minorHAnsi" w:hAnsiTheme="minorHAnsi" w:cstheme="minorHAnsi"/>
          <w:color w:val="000000"/>
          <w:sz w:val="30"/>
          <w:szCs w:val="30"/>
        </w:rPr>
      </w:pPr>
      <w:r w:rsidRPr="00F24C3D">
        <w:rPr>
          <w:rFonts w:asciiTheme="minorHAnsi" w:hAnsiTheme="minorHAnsi" w:cstheme="minorHAnsi"/>
          <w:color w:val="000000"/>
          <w:sz w:val="30"/>
          <w:szCs w:val="30"/>
        </w:rPr>
        <w:t>Customer lifetime value (CLV):</w:t>
      </w:r>
    </w:p>
    <w:p w14:paraId="3DD75EEA"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There’s little point knowing what it costs to acquire a customer if you don’t know what that customer’s patronage is worth. CLV is the profit earned from a customer over the entire time they remain a customer. But you don’t want to track the value of an individual customer — you want the average of all customers, or of like customer groups. Note that this is different for some companies, such as those that would add value from customer references or recurring revenue. The formula is:</w:t>
      </w:r>
    </w:p>
    <w:p w14:paraId="0A611259" w14:textId="77777777" w:rsidR="008C5D96" w:rsidRPr="00F24C3D" w:rsidRDefault="008C5D96" w:rsidP="00F24C3D">
      <w:pPr>
        <w:pStyle w:val="formulabox"/>
        <w:pBdr>
          <w:top w:val="single" w:sz="6" w:space="26" w:color="E0E0DF"/>
          <w:left w:val="single" w:sz="6" w:space="26" w:color="E0E0DF"/>
          <w:bottom w:val="single" w:sz="6" w:space="26" w:color="E0E0DF"/>
          <w:right w:val="single" w:sz="6" w:space="26" w:color="E0E0DF"/>
        </w:pBdr>
        <w:shd w:val="clear" w:color="auto" w:fill="FFFFFF"/>
        <w:spacing w:before="450" w:beforeAutospacing="0" w:after="450" w:afterAutospacing="0" w:line="360" w:lineRule="atLeast"/>
        <w:ind w:left="720"/>
        <w:rPr>
          <w:rFonts w:asciiTheme="minorHAnsi" w:hAnsiTheme="minorHAnsi" w:cstheme="minorHAnsi"/>
          <w:color w:val="4F585B"/>
          <w:sz w:val="27"/>
          <w:szCs w:val="27"/>
        </w:rPr>
      </w:pPr>
      <w:r w:rsidRPr="00F24C3D">
        <w:rPr>
          <w:rStyle w:val="Strong"/>
          <w:rFonts w:asciiTheme="minorHAnsi" w:hAnsiTheme="minorHAnsi" w:cstheme="minorHAnsi"/>
          <w:color w:val="56A7AF"/>
          <w:sz w:val="27"/>
          <w:szCs w:val="27"/>
        </w:rPr>
        <w:t>Customer lifetime value =</w:t>
      </w:r>
      <w:r w:rsidRPr="00F24C3D">
        <w:rPr>
          <w:rFonts w:asciiTheme="minorHAnsi" w:hAnsiTheme="minorHAnsi" w:cstheme="minorHAnsi"/>
          <w:color w:val="4F585B"/>
          <w:sz w:val="27"/>
          <w:szCs w:val="27"/>
        </w:rPr>
        <w:t> (Average transaction value x Average number of transactions in a year x Average customer retention in years) x Profit margin</w:t>
      </w:r>
    </w:p>
    <w:p w14:paraId="4909A3EB"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Suppose a company with an overall 20% profit margin retains customers for five years on average. The company has an average transaction value of $100 and each customer makes 10 purchases per year. Its CLV = (100 x 10 x 5) x .20, or $1,000.</w:t>
      </w:r>
    </w:p>
    <w:p w14:paraId="6662B62C" w14:textId="77777777" w:rsidR="008C5D96" w:rsidRPr="00F24C3D" w:rsidRDefault="008C5D96" w:rsidP="00F24C3D">
      <w:pPr>
        <w:pStyle w:val="Heading3"/>
        <w:shd w:val="clear" w:color="auto" w:fill="FFFFFF"/>
        <w:spacing w:before="0" w:beforeAutospacing="0" w:after="0" w:afterAutospacing="0" w:line="290" w:lineRule="atLeast"/>
        <w:ind w:left="720"/>
        <w:rPr>
          <w:rFonts w:asciiTheme="minorHAnsi" w:hAnsiTheme="minorHAnsi" w:cstheme="minorHAnsi"/>
          <w:color w:val="000000"/>
          <w:sz w:val="30"/>
          <w:szCs w:val="30"/>
        </w:rPr>
      </w:pPr>
      <w:r w:rsidRPr="00F24C3D">
        <w:rPr>
          <w:rFonts w:asciiTheme="minorHAnsi" w:hAnsiTheme="minorHAnsi" w:cstheme="minorHAnsi"/>
          <w:color w:val="000000"/>
          <w:sz w:val="30"/>
          <w:szCs w:val="30"/>
        </w:rPr>
        <w:t>Customer retention:</w:t>
      </w:r>
    </w:p>
    <w:p w14:paraId="73F3B6A2"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 xml:space="preserve">Knowing how costly it is to acquire new customers demonstrates how important it is to retain the customers you already have. Customer retention is </w:t>
      </w:r>
      <w:r w:rsidRPr="00F24C3D">
        <w:rPr>
          <w:rFonts w:asciiTheme="minorHAnsi" w:hAnsiTheme="minorHAnsi" w:cstheme="minorHAnsi"/>
          <w:color w:val="000000"/>
          <w:sz w:val="27"/>
          <w:szCs w:val="27"/>
        </w:rPr>
        <w:lastRenderedPageBreak/>
        <w:t>the percentage of existing customers that stay during a specific period of time. The formula is:</w:t>
      </w:r>
    </w:p>
    <w:p w14:paraId="67B26055" w14:textId="77777777" w:rsidR="008C5D96" w:rsidRPr="00F24C3D" w:rsidRDefault="008C5D96" w:rsidP="00F24C3D">
      <w:pPr>
        <w:pStyle w:val="formulabox"/>
        <w:pBdr>
          <w:top w:val="single" w:sz="6" w:space="26" w:color="E0E0DF"/>
          <w:left w:val="single" w:sz="6" w:space="26" w:color="E0E0DF"/>
          <w:bottom w:val="single" w:sz="6" w:space="26" w:color="E0E0DF"/>
          <w:right w:val="single" w:sz="6" w:space="26" w:color="E0E0DF"/>
        </w:pBdr>
        <w:shd w:val="clear" w:color="auto" w:fill="FFFFFF"/>
        <w:spacing w:before="450" w:beforeAutospacing="0" w:after="450" w:afterAutospacing="0" w:line="360" w:lineRule="atLeast"/>
        <w:ind w:left="720"/>
        <w:rPr>
          <w:rFonts w:asciiTheme="minorHAnsi" w:hAnsiTheme="minorHAnsi" w:cstheme="minorHAnsi"/>
          <w:color w:val="4F585B"/>
          <w:sz w:val="27"/>
          <w:szCs w:val="27"/>
        </w:rPr>
      </w:pPr>
      <w:r w:rsidRPr="00F24C3D">
        <w:rPr>
          <w:rStyle w:val="Strong"/>
          <w:rFonts w:asciiTheme="minorHAnsi" w:hAnsiTheme="minorHAnsi" w:cstheme="minorHAnsi"/>
          <w:color w:val="56A7AF"/>
          <w:sz w:val="27"/>
          <w:szCs w:val="27"/>
        </w:rPr>
        <w:t>Customer retention =</w:t>
      </w:r>
      <w:r w:rsidRPr="00F24C3D">
        <w:rPr>
          <w:rFonts w:asciiTheme="minorHAnsi" w:hAnsiTheme="minorHAnsi" w:cstheme="minorHAnsi"/>
          <w:color w:val="4F585B"/>
          <w:sz w:val="27"/>
          <w:szCs w:val="27"/>
        </w:rPr>
        <w:t> (Number of customers at end of a period - Customers added during period) / Number of customers at beginning of period</w:t>
      </w:r>
    </w:p>
    <w:p w14:paraId="412683E8"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For example, if a company had 500 customers at the start of a year, added 50 customers during the year and ended with 500 total customers, it would have a customer retention rate of (500 - 50) / 500, or 90%.</w:t>
      </w:r>
    </w:p>
    <w:p w14:paraId="1302248D" w14:textId="77777777" w:rsidR="008C5D96" w:rsidRPr="00F24C3D" w:rsidRDefault="008C5D96" w:rsidP="00F24C3D">
      <w:pPr>
        <w:pStyle w:val="Heading3"/>
        <w:shd w:val="clear" w:color="auto" w:fill="FFFFFF"/>
        <w:spacing w:before="0" w:beforeAutospacing="0" w:after="0" w:afterAutospacing="0" w:line="290" w:lineRule="atLeast"/>
        <w:rPr>
          <w:rFonts w:asciiTheme="minorHAnsi" w:hAnsiTheme="minorHAnsi" w:cstheme="minorHAnsi"/>
          <w:color w:val="000000"/>
          <w:sz w:val="30"/>
          <w:szCs w:val="30"/>
        </w:rPr>
      </w:pPr>
      <w:r w:rsidRPr="00F24C3D">
        <w:rPr>
          <w:rFonts w:asciiTheme="minorHAnsi" w:hAnsiTheme="minorHAnsi" w:cstheme="minorHAnsi"/>
          <w:color w:val="000000"/>
          <w:sz w:val="30"/>
          <w:szCs w:val="30"/>
        </w:rPr>
        <w:t>Website bounce rate:</w:t>
      </w:r>
    </w:p>
    <w:p w14:paraId="5440F12A"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Like conversion rate, this metric can help you track how effective your marketing strategy is. Bounce rate tracks how well a website landing page generates visitor interest by calculating the percentage of visitors who enter the site and leave before viewing other pages within the same site. The formula is:</w:t>
      </w:r>
    </w:p>
    <w:p w14:paraId="5A70BE16" w14:textId="77777777" w:rsidR="008C5D96" w:rsidRPr="00F24C3D" w:rsidRDefault="008C5D96" w:rsidP="00F24C3D">
      <w:pPr>
        <w:pStyle w:val="formulabox"/>
        <w:pBdr>
          <w:top w:val="single" w:sz="6" w:space="26" w:color="E0E0DF"/>
          <w:left w:val="single" w:sz="6" w:space="26" w:color="E0E0DF"/>
          <w:bottom w:val="single" w:sz="6" w:space="26" w:color="E0E0DF"/>
          <w:right w:val="single" w:sz="6" w:space="26" w:color="E0E0DF"/>
        </w:pBdr>
        <w:shd w:val="clear" w:color="auto" w:fill="FFFFFF"/>
        <w:spacing w:before="450" w:beforeAutospacing="0" w:after="450" w:afterAutospacing="0" w:line="360" w:lineRule="atLeast"/>
        <w:ind w:left="720"/>
        <w:rPr>
          <w:rFonts w:asciiTheme="minorHAnsi" w:hAnsiTheme="minorHAnsi" w:cstheme="minorHAnsi"/>
          <w:color w:val="4F585B"/>
          <w:sz w:val="27"/>
          <w:szCs w:val="27"/>
        </w:rPr>
      </w:pPr>
      <w:r w:rsidRPr="00F24C3D">
        <w:rPr>
          <w:rStyle w:val="Strong"/>
          <w:rFonts w:asciiTheme="minorHAnsi" w:hAnsiTheme="minorHAnsi" w:cstheme="minorHAnsi"/>
          <w:color w:val="56A7AF"/>
          <w:sz w:val="27"/>
          <w:szCs w:val="27"/>
        </w:rPr>
        <w:t>Bounce rate =</w:t>
      </w:r>
      <w:r w:rsidRPr="00F24C3D">
        <w:rPr>
          <w:rFonts w:asciiTheme="minorHAnsi" w:hAnsiTheme="minorHAnsi" w:cstheme="minorHAnsi"/>
          <w:color w:val="4F585B"/>
          <w:sz w:val="27"/>
          <w:szCs w:val="27"/>
        </w:rPr>
        <w:t> (Number of site visits that access only one page / Total number of site visits) x 100</w:t>
      </w:r>
    </w:p>
    <w:p w14:paraId="32392610"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r w:rsidRPr="00F24C3D">
        <w:rPr>
          <w:rFonts w:asciiTheme="minorHAnsi" w:hAnsiTheme="minorHAnsi" w:cstheme="minorHAnsi"/>
          <w:color w:val="000000"/>
          <w:sz w:val="27"/>
          <w:szCs w:val="27"/>
        </w:rPr>
        <w:t>If a site has 100,000 visitors, and 50,000 of them view only one page, it’s bounce rate is (50,000 / 100,000) x 100, or 50%. The higher the bounce rate, the less likely the site engages customer interest. A low bounce rate is ideal.</w:t>
      </w:r>
    </w:p>
    <w:p w14:paraId="4F70C5C9" w14:textId="77777777" w:rsidR="00D22894" w:rsidRPr="00F24C3D" w:rsidRDefault="00D22894" w:rsidP="00F24C3D">
      <w:pPr>
        <w:pStyle w:val="Heading3"/>
        <w:rPr>
          <w:rFonts w:asciiTheme="minorHAnsi" w:hAnsiTheme="minorHAnsi" w:cstheme="minorHAnsi"/>
          <w:color w:val="159957"/>
        </w:rPr>
      </w:pPr>
      <w:r w:rsidRPr="00F24C3D">
        <w:rPr>
          <w:rFonts w:asciiTheme="minorHAnsi" w:hAnsiTheme="minorHAnsi" w:cstheme="minorHAnsi"/>
          <w:color w:val="159957"/>
        </w:rPr>
        <w:t>Click Through Rate (CTR)</w:t>
      </w:r>
    </w:p>
    <w:p w14:paraId="346099F8" w14:textId="77777777" w:rsidR="00D22894" w:rsidRPr="00F24C3D" w:rsidRDefault="00000000" w:rsidP="00F24C3D">
      <w:pPr>
        <w:pStyle w:val="NormalWeb"/>
        <w:spacing w:before="0" w:after="240" w:afterAutospacing="0"/>
        <w:rPr>
          <w:rFonts w:asciiTheme="minorHAnsi" w:hAnsiTheme="minorHAnsi" w:cstheme="minorHAnsi"/>
          <w:color w:val="606C71"/>
          <w:sz w:val="26"/>
          <w:szCs w:val="26"/>
        </w:rPr>
      </w:pPr>
      <w:hyperlink r:id="rId5" w:anchor="marketing-metric" w:history="1">
        <w:r w:rsidR="00D22894" w:rsidRPr="00F24C3D">
          <w:rPr>
            <w:rStyle w:val="Hyperlink"/>
            <w:rFonts w:asciiTheme="minorHAnsi" w:hAnsiTheme="minorHAnsi" w:cstheme="minorHAnsi"/>
            <w:i/>
            <w:iCs/>
            <w:color w:val="1E6BB8"/>
            <w:sz w:val="26"/>
            <w:szCs w:val="26"/>
          </w:rPr>
          <w:t>Back to Marketing Metric</w:t>
        </w:r>
      </w:hyperlink>
    </w:p>
    <w:p w14:paraId="39FF0917" w14:textId="5E189C4C" w:rsidR="00D22894" w:rsidRPr="00F24C3D" w:rsidRDefault="00D22894" w:rsidP="00F24C3D">
      <w:pPr>
        <w:pStyle w:val="NormalWeb"/>
        <w:spacing w:after="240" w:afterAutospacing="0"/>
        <w:rPr>
          <w:rFonts w:asciiTheme="minorHAnsi" w:hAnsiTheme="minorHAnsi" w:cstheme="minorHAnsi"/>
          <w:color w:val="606C71"/>
          <w:sz w:val="26"/>
          <w:szCs w:val="26"/>
        </w:rPr>
      </w:pPr>
      <w:r w:rsidRPr="00F24C3D">
        <w:rPr>
          <w:rFonts w:asciiTheme="minorHAnsi" w:hAnsiTheme="minorHAnsi" w:cstheme="minorHAnsi"/>
          <w:color w:val="606C71"/>
          <w:sz w:val="26"/>
          <w:szCs w:val="26"/>
        </w:rPr>
        <w:t xml:space="preserve">As potential customers view the ads, some of those potential customers will click the ad and be taken to the website for the company. To be counted at this level, the user </w:t>
      </w:r>
      <w:r w:rsidRPr="00F24C3D">
        <w:rPr>
          <w:rFonts w:asciiTheme="minorHAnsi" w:hAnsiTheme="minorHAnsi" w:cstheme="minorHAnsi"/>
          <w:color w:val="606C71"/>
          <w:sz w:val="26"/>
          <w:szCs w:val="26"/>
        </w:rPr>
        <w:lastRenderedPageBreak/>
        <w:t>needs to click through the ad and the metric we use here is </w:t>
      </w:r>
      <w:r w:rsidRPr="00F24C3D">
        <w:rPr>
          <w:rStyle w:val="Strong"/>
          <w:rFonts w:asciiTheme="minorHAnsi" w:hAnsiTheme="minorHAnsi" w:cstheme="minorHAnsi"/>
          <w:color w:val="606C71"/>
          <w:sz w:val="26"/>
          <w:szCs w:val="26"/>
        </w:rPr>
        <w:t>Click Through Rate</w:t>
      </w:r>
      <w:r w:rsidRPr="00F24C3D">
        <w:rPr>
          <w:rFonts w:asciiTheme="minorHAnsi" w:hAnsiTheme="minorHAnsi" w:cstheme="minorHAnsi"/>
          <w:color w:val="606C71"/>
          <w:sz w:val="26"/>
          <w:szCs w:val="26"/>
        </w:rPr>
        <w:t>. To calculate Click Through Rate, let’s cover a few key concepts. Make sure you are making a note of this terminology and definitions.</w:t>
      </w:r>
    </w:p>
    <w:p w14:paraId="080C8450" w14:textId="77777777" w:rsidR="00D22894" w:rsidRPr="00F24C3D" w:rsidRDefault="00D22894" w:rsidP="00F24C3D">
      <w:pPr>
        <w:pStyle w:val="NormalWeb"/>
        <w:spacing w:before="0" w:after="240" w:afterAutospacing="0"/>
        <w:rPr>
          <w:rFonts w:asciiTheme="minorHAnsi" w:hAnsiTheme="minorHAnsi" w:cstheme="minorHAnsi"/>
          <w:color w:val="606C71"/>
          <w:sz w:val="26"/>
          <w:szCs w:val="26"/>
        </w:rPr>
      </w:pPr>
      <w:r w:rsidRPr="00F24C3D">
        <w:rPr>
          <w:rStyle w:val="Strong"/>
          <w:rFonts w:asciiTheme="minorHAnsi" w:hAnsiTheme="minorHAnsi" w:cstheme="minorHAnsi"/>
          <w:color w:val="606C71"/>
          <w:sz w:val="26"/>
          <w:szCs w:val="26"/>
        </w:rPr>
        <w:t>Terminology</w:t>
      </w:r>
    </w:p>
    <w:p w14:paraId="633C9314" w14:textId="77777777" w:rsidR="00D22894" w:rsidRPr="00F24C3D" w:rsidRDefault="00D22894" w:rsidP="00F24C3D">
      <w:pPr>
        <w:pStyle w:val="NormalWeb"/>
        <w:numPr>
          <w:ilvl w:val="0"/>
          <w:numId w:val="9"/>
        </w:numPr>
        <w:spacing w:before="0" w:beforeAutospacing="0" w:after="240" w:afterAutospacing="0"/>
        <w:rPr>
          <w:rFonts w:asciiTheme="minorHAnsi" w:hAnsiTheme="minorHAnsi" w:cstheme="minorHAnsi"/>
          <w:color w:val="606C71"/>
          <w:sz w:val="26"/>
          <w:szCs w:val="26"/>
        </w:rPr>
      </w:pPr>
      <w:r w:rsidRPr="00F24C3D">
        <w:rPr>
          <w:rStyle w:val="Strong"/>
          <w:rFonts w:asciiTheme="minorHAnsi" w:hAnsiTheme="minorHAnsi" w:cstheme="minorHAnsi"/>
          <w:color w:val="606C71"/>
          <w:sz w:val="26"/>
          <w:szCs w:val="26"/>
        </w:rPr>
        <w:t>Impressions</w:t>
      </w:r>
      <w:r w:rsidRPr="00F24C3D">
        <w:rPr>
          <w:rFonts w:asciiTheme="minorHAnsi" w:hAnsiTheme="minorHAnsi" w:cstheme="minorHAnsi"/>
          <w:color w:val="606C71"/>
          <w:sz w:val="26"/>
          <w:szCs w:val="26"/>
        </w:rPr>
        <w:t> record an instance of an advertisement appearing on a website when it is viewed by a visitor. So if you visit the page 4 times, say in one hour, the gross impression count will include each repeated viewing.</w:t>
      </w:r>
    </w:p>
    <w:p w14:paraId="25E351F1" w14:textId="77777777" w:rsidR="00D22894" w:rsidRPr="00F24C3D" w:rsidRDefault="00D22894" w:rsidP="00F24C3D">
      <w:pPr>
        <w:pStyle w:val="NormalWeb"/>
        <w:numPr>
          <w:ilvl w:val="0"/>
          <w:numId w:val="9"/>
        </w:numPr>
        <w:spacing w:before="0" w:beforeAutospacing="0" w:after="240" w:afterAutospacing="0"/>
        <w:rPr>
          <w:rFonts w:asciiTheme="minorHAnsi" w:hAnsiTheme="minorHAnsi" w:cstheme="minorHAnsi"/>
          <w:color w:val="606C71"/>
          <w:sz w:val="26"/>
          <w:szCs w:val="26"/>
        </w:rPr>
      </w:pPr>
      <w:r w:rsidRPr="00F24C3D">
        <w:rPr>
          <w:rStyle w:val="Strong"/>
          <w:rFonts w:asciiTheme="minorHAnsi" w:hAnsiTheme="minorHAnsi" w:cstheme="minorHAnsi"/>
          <w:color w:val="606C71"/>
          <w:sz w:val="26"/>
          <w:szCs w:val="26"/>
        </w:rPr>
        <w:t>Clicks</w:t>
      </w:r>
      <w:r w:rsidRPr="00F24C3D">
        <w:rPr>
          <w:rFonts w:asciiTheme="minorHAnsi" w:hAnsiTheme="minorHAnsi" w:cstheme="minorHAnsi"/>
          <w:color w:val="606C71"/>
          <w:sz w:val="26"/>
          <w:szCs w:val="26"/>
        </w:rPr>
        <w:t>: Every time a website visitor views the ad and clicks it, this gets included in the Click count”</w:t>
      </w:r>
    </w:p>
    <w:p w14:paraId="1CCB3EB4" w14:textId="77777777" w:rsidR="00D22894" w:rsidRPr="00F24C3D" w:rsidRDefault="00D22894" w:rsidP="00F24C3D">
      <w:pPr>
        <w:pStyle w:val="NormalWeb"/>
        <w:spacing w:before="0" w:after="240" w:afterAutospacing="0"/>
        <w:rPr>
          <w:rFonts w:asciiTheme="minorHAnsi" w:hAnsiTheme="minorHAnsi" w:cstheme="minorHAnsi"/>
          <w:color w:val="606C71"/>
          <w:sz w:val="26"/>
          <w:szCs w:val="26"/>
        </w:rPr>
      </w:pPr>
      <w:r w:rsidRPr="00F24C3D">
        <w:rPr>
          <w:rStyle w:val="Strong"/>
          <w:rFonts w:asciiTheme="minorHAnsi" w:hAnsiTheme="minorHAnsi" w:cstheme="minorHAnsi"/>
          <w:color w:val="606C71"/>
          <w:sz w:val="26"/>
          <w:szCs w:val="26"/>
        </w:rPr>
        <w:t>Calculation</w:t>
      </w:r>
    </w:p>
    <w:p w14:paraId="3C31430D" w14:textId="77777777" w:rsidR="00D22894" w:rsidRDefault="00D22894" w:rsidP="00F24C3D">
      <w:pPr>
        <w:pStyle w:val="NormalWeb"/>
        <w:spacing w:before="0" w:after="240" w:afterAutospacing="0"/>
        <w:rPr>
          <w:rStyle w:val="HTMLCode"/>
          <w:rFonts w:asciiTheme="minorHAnsi" w:hAnsiTheme="minorHAnsi" w:cstheme="minorHAnsi"/>
          <w:color w:val="567482"/>
          <w:shd w:val="clear" w:color="auto" w:fill="F3F6FA"/>
        </w:rPr>
      </w:pPr>
      <w:r w:rsidRPr="00F24C3D">
        <w:rPr>
          <w:rStyle w:val="HTMLCode"/>
          <w:rFonts w:asciiTheme="minorHAnsi" w:hAnsiTheme="minorHAnsi" w:cstheme="minorHAnsi"/>
          <w:color w:val="567482"/>
          <w:shd w:val="clear" w:color="auto" w:fill="F3F6FA"/>
        </w:rPr>
        <w:t>Click Through Rate = (Number of Clicks / Number of Impressions) X 100</w:t>
      </w:r>
    </w:p>
    <w:p w14:paraId="665B744C" w14:textId="77777777" w:rsidR="00BE3296" w:rsidRDefault="00BE3296" w:rsidP="00BE3296">
      <w:pPr>
        <w:pStyle w:val="NormalWeb"/>
        <w:numPr>
          <w:ilvl w:val="0"/>
          <w:numId w:val="10"/>
        </w:numPr>
        <w:spacing w:before="0" w:beforeAutospacing="0" w:after="240" w:afterAutospacing="0"/>
        <w:rPr>
          <w:rFonts w:ascii="Open Sans" w:hAnsi="Open Sans" w:cs="Open Sans"/>
          <w:color w:val="606C71"/>
          <w:sz w:val="26"/>
          <w:szCs w:val="26"/>
        </w:rPr>
      </w:pPr>
      <w:hyperlink r:id="rId6" w:anchor="cost-per-click-cpc-1" w:history="1">
        <w:r>
          <w:rPr>
            <w:rStyle w:val="Hyperlink"/>
            <w:rFonts w:ascii="Open Sans" w:hAnsi="Open Sans" w:cs="Open Sans"/>
            <w:b/>
            <w:bCs/>
            <w:color w:val="1E6BB8"/>
            <w:sz w:val="26"/>
            <w:szCs w:val="26"/>
          </w:rPr>
          <w:t>Cost Per Click (CPC)</w:t>
        </w:r>
      </w:hyperlink>
      <w:r>
        <w:rPr>
          <w:rFonts w:ascii="Open Sans" w:hAnsi="Open Sans" w:cs="Open Sans"/>
          <w:color w:val="606C71"/>
          <w:sz w:val="26"/>
          <w:szCs w:val="26"/>
        </w:rPr>
        <w:t> is an indicator of the cost effectiveness of the ad platform and a useful tool to compare and strategize about which marketing platforms is yielding higher impression and reach and resulting in potential leads.</w:t>
      </w:r>
    </w:p>
    <w:p w14:paraId="5D89815E" w14:textId="77777777" w:rsidR="00BE3296" w:rsidRDefault="00BE3296" w:rsidP="00BE3296">
      <w:pPr>
        <w:pStyle w:val="NormalWeb"/>
        <w:numPr>
          <w:ilvl w:val="0"/>
          <w:numId w:val="10"/>
        </w:numPr>
        <w:spacing w:before="0" w:beforeAutospacing="0" w:after="240" w:afterAutospacing="0"/>
        <w:rPr>
          <w:rFonts w:ascii="Open Sans" w:hAnsi="Open Sans" w:cs="Open Sans"/>
          <w:color w:val="606C71"/>
          <w:sz w:val="26"/>
          <w:szCs w:val="26"/>
        </w:rPr>
      </w:pPr>
      <w:hyperlink r:id="rId7" w:anchor="cost-per-lead-cpl-1" w:history="1">
        <w:r>
          <w:rPr>
            <w:rStyle w:val="Hyperlink"/>
            <w:rFonts w:ascii="Open Sans" w:hAnsi="Open Sans" w:cs="Open Sans"/>
            <w:b/>
            <w:bCs/>
            <w:color w:val="1E6BB8"/>
            <w:sz w:val="26"/>
            <w:szCs w:val="26"/>
          </w:rPr>
          <w:t>Cost Per Lead (CPL)</w:t>
        </w:r>
      </w:hyperlink>
      <w:r>
        <w:rPr>
          <w:rFonts w:ascii="Open Sans" w:hAnsi="Open Sans" w:cs="Open Sans"/>
          <w:color w:val="606C71"/>
          <w:sz w:val="26"/>
          <w:szCs w:val="26"/>
        </w:rPr>
        <w:t> is an indicator of the cost effectiveness of the ad platform and a useful tool to compare and strategize about which marketing platforms yielded more leads.</w:t>
      </w:r>
    </w:p>
    <w:p w14:paraId="7F34D35A" w14:textId="77777777" w:rsidR="00BE3296" w:rsidRDefault="00BE3296" w:rsidP="00BE3296">
      <w:pPr>
        <w:pStyle w:val="NormalWeb"/>
        <w:numPr>
          <w:ilvl w:val="0"/>
          <w:numId w:val="10"/>
        </w:numPr>
        <w:spacing w:before="0" w:beforeAutospacing="0" w:after="240" w:afterAutospacing="0"/>
        <w:rPr>
          <w:rFonts w:ascii="Open Sans" w:hAnsi="Open Sans" w:cs="Open Sans"/>
          <w:color w:val="606C71"/>
          <w:sz w:val="26"/>
          <w:szCs w:val="26"/>
        </w:rPr>
      </w:pPr>
      <w:hyperlink r:id="rId8" w:anchor="customer-acquisition-cost-cac" w:history="1">
        <w:r>
          <w:rPr>
            <w:rStyle w:val="Hyperlink"/>
            <w:rFonts w:ascii="Open Sans" w:hAnsi="Open Sans" w:cs="Open Sans"/>
            <w:b/>
            <w:bCs/>
            <w:color w:val="1E6BB8"/>
            <w:sz w:val="26"/>
            <w:szCs w:val="26"/>
          </w:rPr>
          <w:t>Customer Acquisition Cost (CAC)</w:t>
        </w:r>
      </w:hyperlink>
      <w:r>
        <w:rPr>
          <w:rFonts w:ascii="Open Sans" w:hAnsi="Open Sans" w:cs="Open Sans"/>
          <w:color w:val="606C71"/>
          <w:sz w:val="26"/>
          <w:szCs w:val="26"/>
        </w:rPr>
        <w:t> is a useful metric used to get an estimate of how much it cost us to acquire the customer in the period the money was spent to reach out to them. Marketing and Financial</w:t>
      </w:r>
    </w:p>
    <w:p w14:paraId="289D2C97" w14:textId="77777777" w:rsidR="00BE3296" w:rsidRDefault="00BE3296" w:rsidP="00BE3296">
      <w:pPr>
        <w:pStyle w:val="NormalWeb"/>
        <w:numPr>
          <w:ilvl w:val="0"/>
          <w:numId w:val="10"/>
        </w:numPr>
        <w:spacing w:before="0" w:beforeAutospacing="0" w:after="240" w:afterAutospacing="0"/>
        <w:rPr>
          <w:rFonts w:ascii="Open Sans" w:hAnsi="Open Sans" w:cs="Open Sans"/>
          <w:color w:val="606C71"/>
          <w:sz w:val="26"/>
          <w:szCs w:val="26"/>
        </w:rPr>
      </w:pPr>
      <w:hyperlink r:id="rId9" w:anchor="cost-per-acquisitioncpa" w:history="1">
        <w:r>
          <w:rPr>
            <w:rStyle w:val="Hyperlink"/>
            <w:rFonts w:ascii="Open Sans" w:hAnsi="Open Sans" w:cs="Open Sans"/>
            <w:b/>
            <w:bCs/>
            <w:color w:val="1E6BB8"/>
            <w:sz w:val="26"/>
            <w:szCs w:val="26"/>
          </w:rPr>
          <w:t>Cost Per Acquisition (CPA)</w:t>
        </w:r>
      </w:hyperlink>
      <w:r>
        <w:rPr>
          <w:rFonts w:ascii="Open Sans" w:hAnsi="Open Sans" w:cs="Open Sans"/>
          <w:color w:val="606C71"/>
          <w:sz w:val="26"/>
          <w:szCs w:val="26"/>
        </w:rPr>
        <w:t> allows a business to gauge whether the marketing campaign is generating enough potential leads.</w:t>
      </w:r>
    </w:p>
    <w:p w14:paraId="6492E638" w14:textId="77777777" w:rsidR="00BE3296" w:rsidRPr="00F24C3D" w:rsidRDefault="00BE3296" w:rsidP="00F24C3D">
      <w:pPr>
        <w:pStyle w:val="NormalWeb"/>
        <w:spacing w:before="0" w:after="240" w:afterAutospacing="0"/>
        <w:rPr>
          <w:rFonts w:asciiTheme="minorHAnsi" w:hAnsiTheme="minorHAnsi" w:cstheme="minorHAnsi"/>
          <w:color w:val="606C71"/>
          <w:sz w:val="26"/>
          <w:szCs w:val="26"/>
        </w:rPr>
      </w:pPr>
    </w:p>
    <w:p w14:paraId="78FF92C9" w14:textId="48E62463" w:rsidR="00D22894" w:rsidRPr="00F24C3D" w:rsidRDefault="00D22894" w:rsidP="00F24C3D">
      <w:pPr>
        <w:pStyle w:val="NormalWeb"/>
        <w:spacing w:before="0" w:after="240" w:afterAutospacing="0"/>
        <w:rPr>
          <w:rFonts w:asciiTheme="minorHAnsi" w:hAnsiTheme="minorHAnsi" w:cstheme="minorHAnsi"/>
          <w:color w:val="606C71"/>
          <w:sz w:val="26"/>
          <w:szCs w:val="26"/>
        </w:rPr>
      </w:pPr>
    </w:p>
    <w:p w14:paraId="307AB7F7" w14:textId="77777777" w:rsidR="008C5D96" w:rsidRPr="00F24C3D" w:rsidRDefault="008C5D96" w:rsidP="00F24C3D">
      <w:pPr>
        <w:pStyle w:val="NormalWeb"/>
        <w:shd w:val="clear" w:color="auto" w:fill="FFFFFF"/>
        <w:spacing w:before="0" w:beforeAutospacing="0" w:after="300" w:afterAutospacing="0" w:line="360" w:lineRule="atLeast"/>
        <w:ind w:left="720"/>
        <w:rPr>
          <w:rFonts w:asciiTheme="minorHAnsi" w:hAnsiTheme="minorHAnsi" w:cstheme="minorHAnsi"/>
          <w:color w:val="000000"/>
          <w:sz w:val="27"/>
          <w:szCs w:val="27"/>
        </w:rPr>
      </w:pPr>
    </w:p>
    <w:p w14:paraId="640784A6" w14:textId="77777777" w:rsidR="008C5D96" w:rsidRDefault="008C5D96" w:rsidP="008C5D96">
      <w:pPr>
        <w:pStyle w:val="NormalWeb"/>
        <w:shd w:val="clear" w:color="auto" w:fill="FFFFFF"/>
        <w:spacing w:before="0" w:beforeAutospacing="0" w:after="300" w:afterAutospacing="0" w:line="360" w:lineRule="atLeast"/>
        <w:ind w:left="720"/>
        <w:rPr>
          <w:rFonts w:ascii="Arial" w:hAnsi="Arial" w:cs="Arial"/>
          <w:color w:val="000000"/>
          <w:sz w:val="27"/>
          <w:szCs w:val="27"/>
        </w:rPr>
      </w:pPr>
    </w:p>
    <w:p w14:paraId="0B89C435" w14:textId="77777777" w:rsidR="008C5D96" w:rsidRDefault="008C5D96" w:rsidP="008C5D96"/>
    <w:sectPr w:rsidR="008C5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2E16"/>
    <w:multiLevelType w:val="multilevel"/>
    <w:tmpl w:val="952C47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07E0D"/>
    <w:multiLevelType w:val="multilevel"/>
    <w:tmpl w:val="062AC8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B2D9E"/>
    <w:multiLevelType w:val="multilevel"/>
    <w:tmpl w:val="8C4E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D5CF3"/>
    <w:multiLevelType w:val="multilevel"/>
    <w:tmpl w:val="1DBC3AE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4F4272"/>
    <w:multiLevelType w:val="multilevel"/>
    <w:tmpl w:val="8F6225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795D42"/>
    <w:multiLevelType w:val="multilevel"/>
    <w:tmpl w:val="E2CE78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2E0A03"/>
    <w:multiLevelType w:val="multilevel"/>
    <w:tmpl w:val="B208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85D3E"/>
    <w:multiLevelType w:val="multilevel"/>
    <w:tmpl w:val="AF82BB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243F55"/>
    <w:multiLevelType w:val="multilevel"/>
    <w:tmpl w:val="B0D0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B3BBB"/>
    <w:multiLevelType w:val="multilevel"/>
    <w:tmpl w:val="61A8DF2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849827">
    <w:abstractNumId w:val="8"/>
  </w:num>
  <w:num w:numId="2" w16cid:durableId="1771047425">
    <w:abstractNumId w:val="4"/>
  </w:num>
  <w:num w:numId="3" w16cid:durableId="423495034">
    <w:abstractNumId w:val="5"/>
  </w:num>
  <w:num w:numId="4" w16cid:durableId="573664603">
    <w:abstractNumId w:val="0"/>
  </w:num>
  <w:num w:numId="5" w16cid:durableId="1386878297">
    <w:abstractNumId w:val="1"/>
  </w:num>
  <w:num w:numId="6" w16cid:durableId="1451238191">
    <w:abstractNumId w:val="7"/>
  </w:num>
  <w:num w:numId="7" w16cid:durableId="1685284318">
    <w:abstractNumId w:val="3"/>
  </w:num>
  <w:num w:numId="8" w16cid:durableId="1750611531">
    <w:abstractNumId w:val="9"/>
  </w:num>
  <w:num w:numId="9" w16cid:durableId="976951395">
    <w:abstractNumId w:val="2"/>
  </w:num>
  <w:num w:numId="10" w16cid:durableId="14311980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96"/>
    <w:rsid w:val="008B6E32"/>
    <w:rsid w:val="008C5D96"/>
    <w:rsid w:val="00A21E7D"/>
    <w:rsid w:val="00BE3296"/>
    <w:rsid w:val="00D22894"/>
    <w:rsid w:val="00F24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40B66"/>
  <w15:chartTrackingRefBased/>
  <w15:docId w15:val="{3EC5EB6B-EFAE-47B7-BA99-3626D383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C5D9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5D9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C5D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rmulabox">
    <w:name w:val="formulabox"/>
    <w:basedOn w:val="Normal"/>
    <w:rsid w:val="008C5D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C5D96"/>
    <w:rPr>
      <w:b/>
      <w:bCs/>
    </w:rPr>
  </w:style>
  <w:style w:type="character" w:styleId="Emphasis">
    <w:name w:val="Emphasis"/>
    <w:basedOn w:val="DefaultParagraphFont"/>
    <w:uiPriority w:val="20"/>
    <w:qFormat/>
    <w:rsid w:val="00D22894"/>
    <w:rPr>
      <w:i/>
      <w:iCs/>
    </w:rPr>
  </w:style>
  <w:style w:type="character" w:styleId="Hyperlink">
    <w:name w:val="Hyperlink"/>
    <w:basedOn w:val="DefaultParagraphFont"/>
    <w:uiPriority w:val="99"/>
    <w:semiHidden/>
    <w:unhideWhenUsed/>
    <w:rsid w:val="00D22894"/>
    <w:rPr>
      <w:color w:val="0000FF"/>
      <w:u w:val="single"/>
    </w:rPr>
  </w:style>
  <w:style w:type="character" w:styleId="HTMLCode">
    <w:name w:val="HTML Code"/>
    <w:basedOn w:val="DefaultParagraphFont"/>
    <w:uiPriority w:val="99"/>
    <w:semiHidden/>
    <w:unhideWhenUsed/>
    <w:rsid w:val="00D228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160814">
      <w:bodyDiv w:val="1"/>
      <w:marLeft w:val="0"/>
      <w:marRight w:val="0"/>
      <w:marTop w:val="0"/>
      <w:marBottom w:val="0"/>
      <w:divBdr>
        <w:top w:val="none" w:sz="0" w:space="0" w:color="auto"/>
        <w:left w:val="none" w:sz="0" w:space="0" w:color="auto"/>
        <w:bottom w:val="none" w:sz="0" w:space="0" w:color="auto"/>
        <w:right w:val="none" w:sz="0" w:space="0" w:color="auto"/>
      </w:divBdr>
    </w:div>
    <w:div w:id="503402120">
      <w:bodyDiv w:val="1"/>
      <w:marLeft w:val="0"/>
      <w:marRight w:val="0"/>
      <w:marTop w:val="0"/>
      <w:marBottom w:val="0"/>
      <w:divBdr>
        <w:top w:val="none" w:sz="0" w:space="0" w:color="auto"/>
        <w:left w:val="none" w:sz="0" w:space="0" w:color="auto"/>
        <w:bottom w:val="none" w:sz="0" w:space="0" w:color="auto"/>
        <w:right w:val="none" w:sz="0" w:space="0" w:color="auto"/>
      </w:divBdr>
    </w:div>
    <w:div w:id="548032604">
      <w:bodyDiv w:val="1"/>
      <w:marLeft w:val="0"/>
      <w:marRight w:val="0"/>
      <w:marTop w:val="0"/>
      <w:marBottom w:val="0"/>
      <w:divBdr>
        <w:top w:val="none" w:sz="0" w:space="0" w:color="auto"/>
        <w:left w:val="none" w:sz="0" w:space="0" w:color="auto"/>
        <w:bottom w:val="none" w:sz="0" w:space="0" w:color="auto"/>
        <w:right w:val="none" w:sz="0" w:space="0" w:color="auto"/>
      </w:divBdr>
    </w:div>
    <w:div w:id="573663004">
      <w:bodyDiv w:val="1"/>
      <w:marLeft w:val="0"/>
      <w:marRight w:val="0"/>
      <w:marTop w:val="0"/>
      <w:marBottom w:val="0"/>
      <w:divBdr>
        <w:top w:val="none" w:sz="0" w:space="0" w:color="auto"/>
        <w:left w:val="none" w:sz="0" w:space="0" w:color="auto"/>
        <w:bottom w:val="none" w:sz="0" w:space="0" w:color="auto"/>
        <w:right w:val="none" w:sz="0" w:space="0" w:color="auto"/>
      </w:divBdr>
    </w:div>
    <w:div w:id="862328995">
      <w:bodyDiv w:val="1"/>
      <w:marLeft w:val="0"/>
      <w:marRight w:val="0"/>
      <w:marTop w:val="0"/>
      <w:marBottom w:val="0"/>
      <w:divBdr>
        <w:top w:val="none" w:sz="0" w:space="0" w:color="auto"/>
        <w:left w:val="none" w:sz="0" w:space="0" w:color="auto"/>
        <w:bottom w:val="none" w:sz="0" w:space="0" w:color="auto"/>
        <w:right w:val="none" w:sz="0" w:space="0" w:color="auto"/>
      </w:divBdr>
    </w:div>
    <w:div w:id="1224831387">
      <w:bodyDiv w:val="1"/>
      <w:marLeft w:val="0"/>
      <w:marRight w:val="0"/>
      <w:marTop w:val="0"/>
      <w:marBottom w:val="0"/>
      <w:divBdr>
        <w:top w:val="none" w:sz="0" w:space="0" w:color="auto"/>
        <w:left w:val="none" w:sz="0" w:space="0" w:color="auto"/>
        <w:bottom w:val="none" w:sz="0" w:space="0" w:color="auto"/>
        <w:right w:val="none" w:sz="0" w:space="0" w:color="auto"/>
      </w:divBdr>
    </w:div>
    <w:div w:id="1231304359">
      <w:bodyDiv w:val="1"/>
      <w:marLeft w:val="0"/>
      <w:marRight w:val="0"/>
      <w:marTop w:val="0"/>
      <w:marBottom w:val="0"/>
      <w:divBdr>
        <w:top w:val="none" w:sz="0" w:space="0" w:color="auto"/>
        <w:left w:val="none" w:sz="0" w:space="0" w:color="auto"/>
        <w:bottom w:val="none" w:sz="0" w:space="0" w:color="auto"/>
        <w:right w:val="none" w:sz="0" w:space="0" w:color="auto"/>
      </w:divBdr>
    </w:div>
    <w:div w:id="1386104755">
      <w:bodyDiv w:val="1"/>
      <w:marLeft w:val="0"/>
      <w:marRight w:val="0"/>
      <w:marTop w:val="0"/>
      <w:marBottom w:val="0"/>
      <w:divBdr>
        <w:top w:val="none" w:sz="0" w:space="0" w:color="auto"/>
        <w:left w:val="none" w:sz="0" w:space="0" w:color="auto"/>
        <w:bottom w:val="none" w:sz="0" w:space="0" w:color="auto"/>
        <w:right w:val="none" w:sz="0" w:space="0" w:color="auto"/>
      </w:divBdr>
    </w:div>
    <w:div w:id="1468277874">
      <w:bodyDiv w:val="1"/>
      <w:marLeft w:val="0"/>
      <w:marRight w:val="0"/>
      <w:marTop w:val="0"/>
      <w:marBottom w:val="0"/>
      <w:divBdr>
        <w:top w:val="none" w:sz="0" w:space="0" w:color="auto"/>
        <w:left w:val="none" w:sz="0" w:space="0" w:color="auto"/>
        <w:bottom w:val="none" w:sz="0" w:space="0" w:color="auto"/>
        <w:right w:val="none" w:sz="0" w:space="0" w:color="auto"/>
      </w:divBdr>
    </w:div>
    <w:div w:id="2000689745">
      <w:bodyDiv w:val="1"/>
      <w:marLeft w:val="0"/>
      <w:marRight w:val="0"/>
      <w:marTop w:val="0"/>
      <w:marBottom w:val="0"/>
      <w:divBdr>
        <w:top w:val="none" w:sz="0" w:space="0" w:color="auto"/>
        <w:left w:val="none" w:sz="0" w:space="0" w:color="auto"/>
        <w:bottom w:val="none" w:sz="0" w:space="0" w:color="auto"/>
        <w:right w:val="none" w:sz="0" w:space="0" w:color="auto"/>
      </w:divBdr>
    </w:div>
    <w:div w:id="2052067279">
      <w:bodyDiv w:val="1"/>
      <w:marLeft w:val="0"/>
      <w:marRight w:val="0"/>
      <w:marTop w:val="0"/>
      <w:marBottom w:val="0"/>
      <w:divBdr>
        <w:top w:val="none" w:sz="0" w:space="0" w:color="auto"/>
        <w:left w:val="none" w:sz="0" w:space="0" w:color="auto"/>
        <w:bottom w:val="none" w:sz="0" w:space="0" w:color="auto"/>
        <w:right w:val="none" w:sz="0" w:space="0" w:color="auto"/>
      </w:divBdr>
    </w:div>
    <w:div w:id="211393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oro.github.io/Business-Analytics/Introduction-to-Data/L7-Business-Metrics/" TargetMode="External"/><Relationship Id="rId3" Type="http://schemas.openxmlformats.org/officeDocument/2006/relationships/settings" Target="settings.xml"/><Relationship Id="rId7" Type="http://schemas.openxmlformats.org/officeDocument/2006/relationships/hyperlink" Target="https://m-soro.github.io/Business-Analytics/Introduction-to-Data/L7-Business-Metr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oro.github.io/Business-Analytics/Introduction-to-Data/L7-Business-Metrics/" TargetMode="External"/><Relationship Id="rId11" Type="http://schemas.openxmlformats.org/officeDocument/2006/relationships/theme" Target="theme/theme1.xml"/><Relationship Id="rId5" Type="http://schemas.openxmlformats.org/officeDocument/2006/relationships/hyperlink" Target="https://m-soro.github.io/Business-Analytics/Introduction-to-Data/L7-Business-Metr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soro.github.io/Business-Analytics/Introduction-to-Data/L7-Business-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wahab bhurgri</dc:creator>
  <cp:keywords/>
  <dc:description/>
  <cp:lastModifiedBy>wahab bhurgri</cp:lastModifiedBy>
  <cp:revision>3</cp:revision>
  <dcterms:created xsi:type="dcterms:W3CDTF">2023-06-08T09:56:00Z</dcterms:created>
  <dcterms:modified xsi:type="dcterms:W3CDTF">2023-06-08T10:14:00Z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2023-06-08T10:09:51Z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3f0fe58a-38fd-4398-9de6-08cd63215953</vt:lpwstr>
  </property>
  <property fmtid="{D5CDD505-2E9C-101B-9397-08002B2CF9AE}" pid="7" name="MSIP_Label_defa4170-0d19-0005-0004-bc88714345d2_ActionId">
    <vt:lpwstr>004d0369-d858-4b19-a6e2-5bb221e35f47</vt:lpwstr>
  </property>
  <property fmtid="{D5CDD505-2E9C-101B-9397-08002B2CF9AE}" pid="8" name="MSIP_Label_defa4170-0d19-0005-0004-bc88714345d2_ContentBits">
    <vt:lpwstr>0</vt:lpwstr>
  </property>
</Properties>
</file>